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A9" w:rsidRPr="009223C7" w:rsidRDefault="00D11B50" w:rsidP="0068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3C7">
        <w:rPr>
          <w:rFonts w:ascii="Times New Roman" w:hAnsi="Times New Roman" w:cs="Times New Roman"/>
          <w:b/>
          <w:sz w:val="24"/>
          <w:szCs w:val="24"/>
        </w:rPr>
        <w:t xml:space="preserve">Качество образования по химии в </w:t>
      </w:r>
      <w:proofErr w:type="spellStart"/>
      <w:r w:rsidRPr="009223C7">
        <w:rPr>
          <w:rFonts w:ascii="Times New Roman" w:hAnsi="Times New Roman" w:cs="Times New Roman"/>
          <w:b/>
          <w:sz w:val="24"/>
          <w:szCs w:val="24"/>
        </w:rPr>
        <w:t>Сорочинского</w:t>
      </w:r>
      <w:proofErr w:type="spellEnd"/>
      <w:r w:rsidRPr="009223C7">
        <w:rPr>
          <w:rFonts w:ascii="Times New Roman" w:hAnsi="Times New Roman" w:cs="Times New Roman"/>
          <w:b/>
          <w:sz w:val="24"/>
          <w:szCs w:val="24"/>
        </w:rPr>
        <w:t xml:space="preserve"> муниципальном округе по итогам внешней независимой оценки за последние 3 года</w:t>
      </w:r>
    </w:p>
    <w:p w:rsidR="00D11B50" w:rsidRPr="00687F5C" w:rsidRDefault="00D11B50" w:rsidP="00687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Подготовила руководитель ММО</w:t>
      </w:r>
    </w:p>
    <w:p w:rsidR="00D11B50" w:rsidRDefault="00D11B50" w:rsidP="00687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учителей химии</w:t>
      </w:r>
    </w:p>
    <w:p w:rsidR="009223C7" w:rsidRDefault="009223C7" w:rsidP="00687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Сорочинского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3C7" w:rsidRPr="00687F5C" w:rsidRDefault="009223C7" w:rsidP="00687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D11B50" w:rsidRPr="00687F5C" w:rsidRDefault="00D11B50" w:rsidP="00687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Иванова Т.Ю.</w:t>
      </w:r>
    </w:p>
    <w:p w:rsidR="00D11B50" w:rsidRPr="00D11B50" w:rsidRDefault="00D11B50" w:rsidP="00687F5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11B50">
        <w:rPr>
          <w:rFonts w:ascii="Times New Roman" w:eastAsia="Times New Roman" w:hAnsi="Times New Roman" w:cs="Times New Roman"/>
          <w:i/>
          <w:sz w:val="24"/>
          <w:szCs w:val="24"/>
        </w:rPr>
        <w:t>«Образование - величайшее из</w:t>
      </w:r>
      <w:r w:rsidRPr="00687F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11B50">
        <w:rPr>
          <w:rFonts w:ascii="Times New Roman" w:eastAsia="Times New Roman" w:hAnsi="Times New Roman" w:cs="Times New Roman"/>
          <w:i/>
          <w:sz w:val="24"/>
          <w:szCs w:val="24"/>
        </w:rPr>
        <w:t>земных благ,</w:t>
      </w:r>
      <w:r w:rsidRPr="00687F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11B50">
        <w:rPr>
          <w:rFonts w:ascii="Times New Roman" w:eastAsia="Times New Roman" w:hAnsi="Times New Roman" w:cs="Times New Roman"/>
          <w:i/>
          <w:sz w:val="24"/>
          <w:szCs w:val="24"/>
        </w:rPr>
        <w:t>если оно наивысшего качества.</w:t>
      </w:r>
    </w:p>
    <w:p w:rsidR="00D11B50" w:rsidRPr="00D11B50" w:rsidRDefault="00D11B50" w:rsidP="00687F5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1B50">
        <w:rPr>
          <w:rFonts w:ascii="Times New Roman" w:eastAsia="Times New Roman" w:hAnsi="Times New Roman" w:cs="Times New Roman"/>
          <w:i/>
          <w:sz w:val="24"/>
          <w:szCs w:val="24"/>
        </w:rPr>
        <w:t>В противном случае оно совершенно</w:t>
      </w:r>
      <w:r w:rsidRPr="00687F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11B50">
        <w:rPr>
          <w:rFonts w:ascii="Times New Roman" w:eastAsia="Times New Roman" w:hAnsi="Times New Roman" w:cs="Times New Roman"/>
          <w:i/>
          <w:sz w:val="24"/>
          <w:szCs w:val="24"/>
        </w:rPr>
        <w:t>бесполезно»</w:t>
      </w:r>
    </w:p>
    <w:p w:rsidR="00D11B50" w:rsidRPr="00D11B50" w:rsidRDefault="00D11B50" w:rsidP="00687F5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1B50">
        <w:rPr>
          <w:rFonts w:ascii="Times New Roman" w:eastAsia="Times New Roman" w:hAnsi="Times New Roman" w:cs="Times New Roman"/>
          <w:i/>
          <w:sz w:val="24"/>
          <w:szCs w:val="24"/>
        </w:rPr>
        <w:t>Р.Киплинг</w:t>
      </w:r>
    </w:p>
    <w:p w:rsidR="00DD6E5E" w:rsidRPr="00687F5C" w:rsidRDefault="00D11B50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5C">
        <w:rPr>
          <w:rStyle w:val="a3"/>
          <w:rFonts w:ascii="Times New Roman" w:hAnsi="Times New Roman" w:cs="Times New Roman"/>
          <w:sz w:val="24"/>
          <w:szCs w:val="24"/>
        </w:rPr>
        <w:t>Для оценки качества образования используются различные инструменты</w:t>
      </w:r>
      <w:r w:rsidRPr="00687F5C">
        <w:rPr>
          <w:rFonts w:ascii="Times New Roman" w:hAnsi="Times New Roman" w:cs="Times New Roman"/>
          <w:sz w:val="24"/>
          <w:szCs w:val="24"/>
        </w:rPr>
        <w:t>, которые могут быть государственными, внутренними и международными. </w:t>
      </w:r>
      <w:r w:rsidR="00DD6E5E" w:rsidRPr="00687F5C">
        <w:rPr>
          <w:rFonts w:ascii="Times New Roman" w:hAnsi="Times New Roman" w:cs="Times New Roman"/>
          <w:sz w:val="24"/>
          <w:szCs w:val="24"/>
        </w:rPr>
        <w:t>Одним</w:t>
      </w:r>
      <w:r w:rsidR="00DD6E5E" w:rsidRPr="00687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92D">
        <w:rPr>
          <w:rFonts w:ascii="Times New Roman" w:eastAsia="Times New Roman" w:hAnsi="Times New Roman" w:cs="Times New Roman"/>
          <w:sz w:val="24"/>
          <w:szCs w:val="24"/>
        </w:rPr>
        <w:t>из государственных</w:t>
      </w:r>
      <w:r w:rsidR="00DD6E5E" w:rsidRPr="00687F5C">
        <w:rPr>
          <w:rFonts w:ascii="Times New Roman" w:eastAsia="Times New Roman" w:hAnsi="Times New Roman" w:cs="Times New Roman"/>
          <w:sz w:val="24"/>
          <w:szCs w:val="24"/>
        </w:rPr>
        <w:t xml:space="preserve"> инструмент</w:t>
      </w:r>
      <w:r w:rsidR="00CC092D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DD6E5E" w:rsidRPr="00687F5C">
        <w:rPr>
          <w:rFonts w:ascii="Times New Roman" w:eastAsia="Times New Roman" w:hAnsi="Times New Roman" w:cs="Times New Roman"/>
          <w:sz w:val="24"/>
          <w:szCs w:val="24"/>
        </w:rPr>
        <w:t xml:space="preserve"> для оценки качества образования в России является п</w:t>
      </w:r>
      <w:r w:rsidR="00DD6E5E" w:rsidRPr="00687F5C">
        <w:rPr>
          <w:rFonts w:ascii="Times New Roman" w:eastAsia="Times New Roman" w:hAnsi="Times New Roman" w:cs="Times New Roman"/>
          <w:b/>
          <w:bCs/>
          <w:sz w:val="24"/>
          <w:szCs w:val="24"/>
        </w:rPr>
        <w:t>роцедуры государственной итоговой аттестации</w:t>
      </w:r>
      <w:r w:rsidR="00DD6E5E" w:rsidRPr="00DD6E5E">
        <w:rPr>
          <w:rFonts w:ascii="Times New Roman" w:eastAsia="Times New Roman" w:hAnsi="Times New Roman" w:cs="Times New Roman"/>
          <w:sz w:val="24"/>
          <w:szCs w:val="24"/>
        </w:rPr>
        <w:t xml:space="preserve"> (ЕГЭ, ОГЭ) — позволяют оценивать уровень знаний у выпускников школ и контролировать их соответствие требованиям ФГОС.</w:t>
      </w:r>
    </w:p>
    <w:p w:rsidR="00D4725A" w:rsidRPr="00687F5C" w:rsidRDefault="00D4725A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6E5E" w:rsidRPr="00687F5C" w:rsidRDefault="00DD6E5E" w:rsidP="00687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87F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ОГЭ как показатель качества образования по химии.</w:t>
      </w:r>
    </w:p>
    <w:p w:rsidR="00D4725A" w:rsidRPr="00687F5C" w:rsidRDefault="00DD6E5E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sz w:val="24"/>
          <w:szCs w:val="24"/>
        </w:rPr>
        <w:t>Если рассматривать изменения в структуре КИМ ОГЭ по химии за последние года, то напоминаю, что до 2025 года в КИМ по химии было 24 задания, два последних из которых было в практической части. Выполнение практикума оценивалось экспертами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7F5C">
        <w:rPr>
          <w:rFonts w:ascii="Times New Roman" w:eastAsia="Times New Roman" w:hAnsi="Times New Roman" w:cs="Times New Roman"/>
          <w:sz w:val="24"/>
          <w:szCs w:val="24"/>
        </w:rPr>
        <w:t>-лаборантами в аудитории, максимальная оценка в 2 балла. Но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87F5C">
        <w:rPr>
          <w:rFonts w:ascii="Times New Roman" w:eastAsia="Times New Roman" w:hAnsi="Times New Roman" w:cs="Times New Roman"/>
          <w:sz w:val="24"/>
          <w:szCs w:val="24"/>
        </w:rPr>
        <w:t xml:space="preserve"> начиная с 2025 года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87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структура и содержание экзамена </w:t>
      </w:r>
      <w:r w:rsidR="00D4725A" w:rsidRPr="00D4725A">
        <w:rPr>
          <w:rFonts w:ascii="Times New Roman" w:eastAsia="Times New Roman" w:hAnsi="Times New Roman" w:cs="Times New Roman"/>
          <w:sz w:val="24"/>
          <w:szCs w:val="24"/>
        </w:rPr>
        <w:t>в целом сохраняются, но есть изменения в практической части. В 2025 году в экзамене остается одно практическое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25A" w:rsidRPr="00D4725A">
        <w:rPr>
          <w:rFonts w:ascii="Times New Roman" w:eastAsia="Times New Roman" w:hAnsi="Times New Roman" w:cs="Times New Roman"/>
          <w:sz w:val="24"/>
          <w:szCs w:val="24"/>
        </w:rPr>
        <w:t xml:space="preserve">задание (№23), связанное с проведением и оформлением результатов химического эксперимента. 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87F5C">
        <w:rPr>
          <w:rFonts w:ascii="Times New Roman" w:eastAsia="Times New Roman" w:hAnsi="Times New Roman" w:cs="Times New Roman"/>
          <w:sz w:val="24"/>
          <w:szCs w:val="24"/>
        </w:rPr>
        <w:t>оличество практических заданий в КИМ уменьшилось до одного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. Убрано задание 24 (проведение химического эксперимента). </w:t>
      </w:r>
      <w:r w:rsidR="00D4725A" w:rsidRPr="00D4725A">
        <w:rPr>
          <w:rFonts w:ascii="Times New Roman" w:eastAsia="Times New Roman" w:hAnsi="Times New Roman" w:cs="Times New Roman"/>
          <w:sz w:val="24"/>
          <w:szCs w:val="24"/>
        </w:rPr>
        <w:t>Задание 23 требует проведения 4 опытов и оформления результатов в таблицу, оценивается по двум критериям,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25A" w:rsidRPr="00D4725A">
        <w:rPr>
          <w:rFonts w:ascii="Times New Roman" w:eastAsia="Times New Roman" w:hAnsi="Times New Roman" w:cs="Times New Roman"/>
          <w:sz w:val="24"/>
          <w:szCs w:val="24"/>
        </w:rPr>
        <w:t>в сумме до 5 баллов.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 В задании 21 больше не требуется составлять сокращенное ионное уравнение реакции, так как это умение </w:t>
      </w:r>
      <w:r w:rsidR="00D4725A" w:rsidRPr="00D4725A">
        <w:rPr>
          <w:rFonts w:ascii="Times New Roman" w:eastAsia="Times New Roman" w:hAnsi="Times New Roman" w:cs="Times New Roman"/>
          <w:sz w:val="24"/>
          <w:szCs w:val="24"/>
        </w:rPr>
        <w:t>проверяется в задании 23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4725A" w:rsidRPr="00D4725A">
        <w:rPr>
          <w:rFonts w:ascii="Times New Roman" w:eastAsia="Times New Roman" w:hAnsi="Times New Roman" w:cs="Times New Roman"/>
          <w:sz w:val="24"/>
          <w:szCs w:val="24"/>
        </w:rPr>
        <w:t>Максимальный первичный балл за выполнение всей работы - 38</w:t>
      </w:r>
      <w:r w:rsidR="00D4725A" w:rsidRPr="00687F5C">
        <w:rPr>
          <w:rFonts w:ascii="Times New Roman" w:eastAsia="Times New Roman" w:hAnsi="Times New Roman" w:cs="Times New Roman"/>
          <w:sz w:val="24"/>
          <w:szCs w:val="24"/>
        </w:rPr>
        <w:t>, а не 40, как было до 2025 года.</w:t>
      </w:r>
    </w:p>
    <w:p w:rsidR="00510E03" w:rsidRPr="00687F5C" w:rsidRDefault="00510E03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25A" w:rsidRPr="00687F5C" w:rsidRDefault="000F5E5E" w:rsidP="00687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участников ОГЭ по химии: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142"/>
        <w:gridCol w:w="749"/>
        <w:gridCol w:w="1115"/>
        <w:gridCol w:w="716"/>
        <w:gridCol w:w="1147"/>
        <w:gridCol w:w="783"/>
        <w:gridCol w:w="1211"/>
        <w:gridCol w:w="998"/>
        <w:gridCol w:w="996"/>
      </w:tblGrid>
      <w:tr w:rsidR="00AB461D" w:rsidRPr="00687F5C" w:rsidTr="00AB461D">
        <w:tc>
          <w:tcPr>
            <w:tcW w:w="972" w:type="pct"/>
            <w:gridSpan w:val="2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2022 г.</w:t>
            </w:r>
          </w:p>
        </w:tc>
        <w:tc>
          <w:tcPr>
            <w:tcW w:w="973" w:type="pct"/>
            <w:gridSpan w:val="2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</w:t>
            </w:r>
            <w:r w:rsidRPr="00687F5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2</w:t>
            </w:r>
            <w:r w:rsidRPr="00687F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 г.</w:t>
            </w:r>
          </w:p>
        </w:tc>
        <w:tc>
          <w:tcPr>
            <w:tcW w:w="973" w:type="pct"/>
            <w:gridSpan w:val="2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2024 г.</w:t>
            </w:r>
          </w:p>
        </w:tc>
        <w:tc>
          <w:tcPr>
            <w:tcW w:w="1041" w:type="pct"/>
            <w:gridSpan w:val="2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2025</w:t>
            </w:r>
          </w:p>
        </w:tc>
        <w:tc>
          <w:tcPr>
            <w:tcW w:w="1041" w:type="pct"/>
            <w:gridSpan w:val="2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  <w:t>2026</w:t>
            </w:r>
            <w:r w:rsidR="009223C7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  <w:t xml:space="preserve"> (прогноз)</w:t>
            </w:r>
          </w:p>
        </w:tc>
      </w:tr>
      <w:tr w:rsidR="00AB461D" w:rsidRPr="00687F5C" w:rsidTr="00AB461D">
        <w:trPr>
          <w:trHeight w:val="1244"/>
        </w:trPr>
        <w:tc>
          <w:tcPr>
            <w:tcW w:w="376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чел.</w:t>
            </w:r>
          </w:p>
        </w:tc>
        <w:tc>
          <w:tcPr>
            <w:tcW w:w="596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% от общего числа участников</w:t>
            </w:r>
          </w:p>
        </w:tc>
        <w:tc>
          <w:tcPr>
            <w:tcW w:w="391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чел.</w:t>
            </w:r>
          </w:p>
        </w:tc>
        <w:tc>
          <w:tcPr>
            <w:tcW w:w="582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% от общего числа участников</w:t>
            </w:r>
          </w:p>
        </w:tc>
        <w:tc>
          <w:tcPr>
            <w:tcW w:w="374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чел.</w:t>
            </w:r>
          </w:p>
        </w:tc>
        <w:tc>
          <w:tcPr>
            <w:tcW w:w="599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% от общего числа участников</w:t>
            </w:r>
          </w:p>
        </w:tc>
        <w:tc>
          <w:tcPr>
            <w:tcW w:w="409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чел.</w:t>
            </w:r>
          </w:p>
        </w:tc>
        <w:tc>
          <w:tcPr>
            <w:tcW w:w="632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% от общего числа участников</w:t>
            </w:r>
          </w:p>
        </w:tc>
        <w:tc>
          <w:tcPr>
            <w:tcW w:w="521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чел.</w:t>
            </w:r>
          </w:p>
        </w:tc>
        <w:tc>
          <w:tcPr>
            <w:tcW w:w="520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% от общего числа участников</w:t>
            </w:r>
          </w:p>
        </w:tc>
      </w:tr>
      <w:tr w:rsidR="00AB461D" w:rsidRPr="00687F5C" w:rsidTr="00AB461D">
        <w:tc>
          <w:tcPr>
            <w:tcW w:w="376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6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391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38</w:t>
            </w:r>
          </w:p>
        </w:tc>
        <w:tc>
          <w:tcPr>
            <w:tcW w:w="582" w:type="pct"/>
          </w:tcPr>
          <w:p w:rsidR="00AB461D" w:rsidRPr="00687F5C" w:rsidRDefault="00AB461D" w:rsidP="00687F5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noProof/>
                <w:sz w:val="24"/>
                <w:szCs w:val="24"/>
              </w:rPr>
              <w:t>6,8</w:t>
            </w:r>
          </w:p>
        </w:tc>
        <w:tc>
          <w:tcPr>
            <w:tcW w:w="374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9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409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2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3,49</w:t>
            </w:r>
          </w:p>
        </w:tc>
        <w:tc>
          <w:tcPr>
            <w:tcW w:w="521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521" w:type="pct"/>
          </w:tcPr>
          <w:p w:rsidR="00AB461D" w:rsidRPr="00687F5C" w:rsidRDefault="00AB461D" w:rsidP="00687F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F5E5E" w:rsidRPr="00687F5C" w:rsidRDefault="000F5E5E" w:rsidP="00687F5C">
      <w:pPr>
        <w:pStyle w:val="Default"/>
        <w:rPr>
          <w:rFonts w:eastAsia="Times New Roman"/>
        </w:rPr>
      </w:pPr>
    </w:p>
    <w:p w:rsidR="000F5E5E" w:rsidRPr="00687F5C" w:rsidRDefault="00AB461D" w:rsidP="00687F5C">
      <w:pPr>
        <w:pStyle w:val="Default"/>
        <w:rPr>
          <w:rFonts w:eastAsia="Times New Roman"/>
        </w:rPr>
      </w:pPr>
      <w:r w:rsidRPr="00687F5C">
        <w:rPr>
          <w:rFonts w:eastAsia="Times New Roman"/>
          <w:noProof/>
        </w:rPr>
        <w:drawing>
          <wp:inline distT="0" distB="0" distL="0" distR="0">
            <wp:extent cx="3912870" cy="1905000"/>
            <wp:effectExtent l="19050" t="0" r="1143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F5E5E" w:rsidRPr="00687F5C" w:rsidRDefault="000F5E5E" w:rsidP="00687F5C">
      <w:pPr>
        <w:pStyle w:val="Default"/>
        <w:rPr>
          <w:rFonts w:eastAsia="Times New Roman"/>
        </w:rPr>
      </w:pPr>
    </w:p>
    <w:p w:rsidR="000F5E5E" w:rsidRPr="00687F5C" w:rsidRDefault="000F5E5E" w:rsidP="00687F5C">
      <w:pPr>
        <w:pStyle w:val="Default"/>
        <w:rPr>
          <w:bCs/>
        </w:rPr>
      </w:pPr>
      <w:r w:rsidRPr="00687F5C">
        <w:rPr>
          <w:rFonts w:eastAsia="Times New Roman"/>
        </w:rPr>
        <w:t>Как видно из таблицы</w:t>
      </w:r>
      <w:r w:rsidR="00AB461D" w:rsidRPr="00687F5C">
        <w:rPr>
          <w:rFonts w:eastAsia="Times New Roman"/>
        </w:rPr>
        <w:t xml:space="preserve"> и графика</w:t>
      </w:r>
      <w:r w:rsidRPr="00687F5C">
        <w:rPr>
          <w:rFonts w:eastAsia="Times New Roman"/>
        </w:rPr>
        <w:t>, динамика количес</w:t>
      </w:r>
      <w:r w:rsidR="00AB461D" w:rsidRPr="00687F5C">
        <w:rPr>
          <w:rFonts w:eastAsia="Times New Roman"/>
        </w:rPr>
        <w:t>т</w:t>
      </w:r>
      <w:r w:rsidRPr="00687F5C">
        <w:rPr>
          <w:rFonts w:eastAsia="Times New Roman"/>
        </w:rPr>
        <w:t>в</w:t>
      </w:r>
      <w:r w:rsidR="00AB461D" w:rsidRPr="00687F5C">
        <w:rPr>
          <w:rFonts w:eastAsia="Times New Roman"/>
        </w:rPr>
        <w:t>а</w:t>
      </w:r>
      <w:r w:rsidRPr="00687F5C">
        <w:rPr>
          <w:rFonts w:eastAsia="Times New Roman"/>
        </w:rPr>
        <w:t xml:space="preserve"> участников экзамена отрицательная. </w:t>
      </w:r>
      <w:r w:rsidRPr="00687F5C">
        <w:t>В среднестатистической СОШ химию начинают изучать с 8 класса (2 часа в неделю). Практически каждый урок − это новая тема, новый материал. Большая группа учащихся из года в год теряет интерес к изучению химии уже в 8 классе. Насыщенность программы не позволяет ученикам в достаточном объеме уделить внимание закреплению материала, у учеников накапливаются недопонимания, вопросы, а затем происходит потеря интереса к изучению данного предмета. Чтобы полностью владеть, понимать и применять полученную на уроке информацию, необходимо самостоятельно работать, но современные ученики характеризуются снижением уровня мотивации к обучению, низким уровнем самоорганизации, а дополнительная нагрузка в виде самостоятельной работы не укрепляет их учебно-познавательные мотивы. Это, скорее всего, и является причиной уменьшения количества выпускников, выбирающих в качестве ОГЭ «по выбору» химию.</w:t>
      </w:r>
    </w:p>
    <w:p w:rsidR="000F5E5E" w:rsidRPr="00687F5C" w:rsidRDefault="000F5E5E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1CB" w:rsidRPr="00687F5C" w:rsidRDefault="007321CB" w:rsidP="00687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b/>
          <w:sz w:val="24"/>
          <w:szCs w:val="24"/>
        </w:rPr>
        <w:t>Динамика успеваемости и качества знаний по химии(основная волна):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7321CB" w:rsidRPr="00687F5C" w:rsidTr="00113BA9">
        <w:tc>
          <w:tcPr>
            <w:tcW w:w="1914" w:type="dxa"/>
            <w:gridSpan w:val="2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14" w:type="dxa"/>
            <w:gridSpan w:val="2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14" w:type="dxa"/>
            <w:gridSpan w:val="2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14" w:type="dxa"/>
            <w:gridSpan w:val="2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321CB" w:rsidRPr="00687F5C" w:rsidTr="007321CB"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КЗ</w:t>
            </w:r>
          </w:p>
        </w:tc>
      </w:tr>
      <w:tr w:rsidR="007321CB" w:rsidRPr="00687F5C" w:rsidTr="007321CB">
        <w:tc>
          <w:tcPr>
            <w:tcW w:w="957" w:type="dxa"/>
          </w:tcPr>
          <w:p w:rsidR="007321CB" w:rsidRPr="00687F5C" w:rsidRDefault="00651129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:rsidR="007321CB" w:rsidRPr="00687F5C" w:rsidRDefault="00651129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:rsidR="007321CB" w:rsidRPr="00687F5C" w:rsidRDefault="00651129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957" w:type="dxa"/>
          </w:tcPr>
          <w:p w:rsidR="007321CB" w:rsidRPr="00687F5C" w:rsidRDefault="007321CB" w:rsidP="00687F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</w:tbl>
    <w:p w:rsidR="007321CB" w:rsidRPr="00687F5C" w:rsidRDefault="007321CB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1129" w:rsidRPr="00687F5C" w:rsidRDefault="00651129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73550" cy="2545080"/>
            <wp:effectExtent l="19050" t="0" r="12700" b="762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21CB" w:rsidRPr="00687F5C" w:rsidRDefault="00651129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sz w:val="24"/>
          <w:szCs w:val="24"/>
        </w:rPr>
        <w:t>Как видно из диаграммы, успеваемость снизилась в 2025 г (из-за одного ученика, кот</w:t>
      </w:r>
      <w:r w:rsidR="000E40D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87F5C">
        <w:rPr>
          <w:rFonts w:ascii="Times New Roman" w:eastAsia="Times New Roman" w:hAnsi="Times New Roman" w:cs="Times New Roman"/>
          <w:sz w:val="24"/>
          <w:szCs w:val="24"/>
        </w:rPr>
        <w:t>рый пересдал ОГЭ в дополнительные сроки),качество знаний стабильно держится на уровне выше 70%, но что будет в 2026г.?</w:t>
      </w:r>
    </w:p>
    <w:p w:rsidR="00651129" w:rsidRPr="00D4725A" w:rsidRDefault="00651129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25A" w:rsidRPr="00687F5C" w:rsidRDefault="000372E5" w:rsidP="00687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b/>
          <w:sz w:val="24"/>
          <w:szCs w:val="24"/>
        </w:rPr>
        <w:t xml:space="preserve">Динамика </w:t>
      </w:r>
      <w:r w:rsidR="00651129" w:rsidRPr="00687F5C">
        <w:rPr>
          <w:rFonts w:ascii="Times New Roman" w:eastAsia="Times New Roman" w:hAnsi="Times New Roman" w:cs="Times New Roman"/>
          <w:b/>
          <w:sz w:val="24"/>
          <w:szCs w:val="24"/>
        </w:rPr>
        <w:t xml:space="preserve">отметок </w:t>
      </w:r>
      <w:r w:rsidRPr="00687F5C">
        <w:rPr>
          <w:rFonts w:ascii="Times New Roman" w:eastAsia="Times New Roman" w:hAnsi="Times New Roman" w:cs="Times New Roman"/>
          <w:b/>
          <w:sz w:val="24"/>
          <w:szCs w:val="24"/>
        </w:rPr>
        <w:t>ОГЭ по химии (основная волна):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1020"/>
        <w:gridCol w:w="1022"/>
        <w:gridCol w:w="1020"/>
        <w:gridCol w:w="1022"/>
        <w:gridCol w:w="1020"/>
        <w:gridCol w:w="1022"/>
        <w:gridCol w:w="1018"/>
        <w:gridCol w:w="1009"/>
      </w:tblGrid>
      <w:tr w:rsidR="000372E5" w:rsidRPr="00687F5C" w:rsidTr="000372E5">
        <w:trPr>
          <w:cantSplit/>
          <w:trHeight w:val="338"/>
          <w:tblHeader/>
        </w:trPr>
        <w:tc>
          <w:tcPr>
            <w:tcW w:w="740" w:type="pct"/>
            <w:vMerge w:val="restar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Получили отметку</w:t>
            </w:r>
          </w:p>
        </w:tc>
        <w:tc>
          <w:tcPr>
            <w:tcW w:w="10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2022 г.</w:t>
            </w:r>
          </w:p>
        </w:tc>
        <w:tc>
          <w:tcPr>
            <w:tcW w:w="1067" w:type="pct"/>
            <w:gridSpan w:val="2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1067" w:type="pct"/>
            <w:gridSpan w:val="2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2024 г.</w:t>
            </w:r>
          </w:p>
        </w:tc>
        <w:tc>
          <w:tcPr>
            <w:tcW w:w="1060" w:type="pct"/>
            <w:gridSpan w:val="2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2025 г.</w:t>
            </w:r>
          </w:p>
        </w:tc>
      </w:tr>
      <w:tr w:rsidR="000372E5" w:rsidRPr="00687F5C" w:rsidTr="000372E5">
        <w:trPr>
          <w:cantSplit/>
          <w:trHeight w:val="155"/>
          <w:tblHeader/>
        </w:trPr>
        <w:tc>
          <w:tcPr>
            <w:tcW w:w="740" w:type="pct"/>
            <w:vMerge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34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3" w:type="pct"/>
            <w:tcBorders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3" w:type="pct"/>
            <w:tcBorders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8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%</w:t>
            </w:r>
          </w:p>
        </w:tc>
      </w:tr>
      <w:tr w:rsidR="000372E5" w:rsidRPr="00687F5C" w:rsidTr="000372E5">
        <w:trPr>
          <w:trHeight w:val="349"/>
        </w:trPr>
        <w:tc>
          <w:tcPr>
            <w:tcW w:w="740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33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4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</w:tr>
      <w:tr w:rsidR="000372E5" w:rsidRPr="00687F5C" w:rsidTr="000372E5">
        <w:trPr>
          <w:trHeight w:val="338"/>
        </w:trPr>
        <w:tc>
          <w:tcPr>
            <w:tcW w:w="740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33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" w:type="pct"/>
            <w:tcBorders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21</w:t>
            </w:r>
          </w:p>
        </w:tc>
      </w:tr>
      <w:tr w:rsidR="000372E5" w:rsidRPr="00687F5C" w:rsidTr="000372E5">
        <w:trPr>
          <w:trHeight w:val="338"/>
        </w:trPr>
        <w:tc>
          <w:tcPr>
            <w:tcW w:w="740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33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4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3" w:type="pct"/>
            <w:tcBorders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42</w:t>
            </w:r>
          </w:p>
        </w:tc>
      </w:tr>
      <w:tr w:rsidR="000372E5" w:rsidRPr="00687F5C" w:rsidTr="000372E5">
        <w:trPr>
          <w:trHeight w:val="338"/>
        </w:trPr>
        <w:tc>
          <w:tcPr>
            <w:tcW w:w="740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33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4" w:type="pct"/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3" w:type="pct"/>
            <w:tcBorders>
              <w:righ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vAlign w:val="center"/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:rsidR="000372E5" w:rsidRPr="00687F5C" w:rsidRDefault="000372E5" w:rsidP="00687F5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MS Mincho" w:hAnsi="Times New Roman" w:cs="Times New Roman"/>
                <w:sz w:val="24"/>
                <w:szCs w:val="24"/>
              </w:rPr>
              <w:t>32</w:t>
            </w:r>
          </w:p>
        </w:tc>
      </w:tr>
    </w:tbl>
    <w:p w:rsidR="000372E5" w:rsidRPr="00D4725A" w:rsidRDefault="000372E5" w:rsidP="00687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1CB" w:rsidRPr="00687F5C" w:rsidRDefault="000372E5" w:rsidP="00687F5C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273550" cy="2545080"/>
            <wp:effectExtent l="19050" t="0" r="12700" b="762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D6E5E" w:rsidRPr="00687F5C" w:rsidRDefault="00DD6E5E" w:rsidP="00687F5C">
      <w:pPr>
        <w:pStyle w:val="a6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51129" w:rsidRPr="00687F5C" w:rsidRDefault="00651129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Если проанализировать диаграмму, то видно, что количество "5" за последний год резко снижается, а процент отметок "3" при этом  повышается. Эта же тенденция сохранялась и в предыдущие годы.</w:t>
      </w:r>
    </w:p>
    <w:p w:rsidR="00ED5F09" w:rsidRPr="00687F5C" w:rsidRDefault="00ED5F09" w:rsidP="00687F5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 xml:space="preserve">Если взять средний тестовый балл за последние три года, то можно сделать вывод, что </w:t>
      </w:r>
      <w:r w:rsidRPr="00687F5C">
        <w:rPr>
          <w:rFonts w:ascii="Times New Roman" w:eastAsia="Times New Roman" w:hAnsi="Times New Roman" w:cs="Times New Roman"/>
          <w:sz w:val="24"/>
          <w:szCs w:val="24"/>
        </w:rPr>
        <w:t xml:space="preserve">- средний тестовый балл составил в </w:t>
      </w:r>
      <w:r w:rsidRPr="00687F5C">
        <w:rPr>
          <w:rFonts w:ascii="Times New Roman" w:eastAsia="Times New Roman" w:hAnsi="Times New Roman" w:cs="Times New Roman"/>
          <w:bCs/>
          <w:sz w:val="24"/>
          <w:szCs w:val="24"/>
        </w:rPr>
        <w:t>2023 году - 28,1 баллов, что соответствует отметке "4", в 2024 году - 30,0 баллов, что соответствует отметке "4", в 2025 году - 25,5 баллов, что соответствует отметке "4".</w:t>
      </w:r>
    </w:p>
    <w:p w:rsidR="00510E03" w:rsidRPr="00687F5C" w:rsidRDefault="00510E03" w:rsidP="00687F5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10E03" w:rsidRPr="00687F5C" w:rsidRDefault="00510E03" w:rsidP="00687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7F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выполнения заданий КИМ ОГЭ</w:t>
      </w:r>
    </w:p>
    <w:p w:rsidR="00ED5F09" w:rsidRPr="00687F5C" w:rsidRDefault="00510E03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Статистический анализ выполнения заданий КИМ ОГЭ я провела за последние 2 года: 2024 и 2025 год, так как именно в этот период я являлась ру</w:t>
      </w:r>
      <w:r w:rsidR="009223C7">
        <w:rPr>
          <w:rFonts w:ascii="Times New Roman" w:hAnsi="Times New Roman" w:cs="Times New Roman"/>
          <w:sz w:val="24"/>
          <w:szCs w:val="24"/>
        </w:rPr>
        <w:t>к</w:t>
      </w:r>
      <w:r w:rsidRPr="00687F5C">
        <w:rPr>
          <w:rFonts w:ascii="Times New Roman" w:hAnsi="Times New Roman" w:cs="Times New Roman"/>
          <w:sz w:val="24"/>
          <w:szCs w:val="24"/>
        </w:rPr>
        <w:t>оводителем ММО учителей химии и владею достоверной информацией по этому вопросу.</w:t>
      </w:r>
    </w:p>
    <w:tbl>
      <w:tblPr>
        <w:tblStyle w:val="a7"/>
        <w:tblW w:w="9783" w:type="dxa"/>
        <w:tblLayout w:type="fixed"/>
        <w:tblLook w:val="04A0"/>
      </w:tblPr>
      <w:tblGrid>
        <w:gridCol w:w="675"/>
        <w:gridCol w:w="6521"/>
        <w:gridCol w:w="850"/>
        <w:gridCol w:w="853"/>
        <w:gridCol w:w="884"/>
      </w:tblGrid>
      <w:tr w:rsidR="00510E03" w:rsidRPr="00687F5C" w:rsidTr="00AD72D8">
        <w:tc>
          <w:tcPr>
            <w:tcW w:w="675" w:type="dxa"/>
            <w:vMerge w:val="restart"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Номер задания в КИМ</w:t>
            </w:r>
          </w:p>
        </w:tc>
        <w:tc>
          <w:tcPr>
            <w:tcW w:w="6521" w:type="dxa"/>
            <w:vMerge w:val="restart"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содержания/умения</w:t>
            </w:r>
          </w:p>
        </w:tc>
        <w:tc>
          <w:tcPr>
            <w:tcW w:w="850" w:type="dxa"/>
            <w:vMerge w:val="restart"/>
          </w:tcPr>
          <w:p w:rsidR="00AD72D8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</w:p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вень</w:t>
            </w:r>
            <w:proofErr w:type="spellEnd"/>
            <w:r w:rsidRPr="00687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737" w:type="dxa"/>
            <w:gridSpan w:val="2"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Средний процент выполнения</w:t>
            </w:r>
          </w:p>
        </w:tc>
      </w:tr>
      <w:tr w:rsidR="00510E03" w:rsidRPr="00687F5C" w:rsidTr="00AD72D8">
        <w:tc>
          <w:tcPr>
            <w:tcW w:w="675" w:type="dxa"/>
            <w:vMerge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10E03" w:rsidRPr="00687F5C" w:rsidTr="00AD72D8">
        <w:tc>
          <w:tcPr>
            <w:tcW w:w="675" w:type="dxa"/>
            <w:vMerge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84" w:type="dxa"/>
          </w:tcPr>
          <w:p w:rsidR="00510E03" w:rsidRPr="00687F5C" w:rsidRDefault="00510E03" w:rsidP="0068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Владение системой химических знаний и умение применять систему химических знаний,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которая включает важнейшие химические понятия: химический элемент, атом, молекула, вещество, простое и сложное вещество, однородная и неоднородная смесь, предельно допустимая концентрация (ПДК), коррозия металлов, сплавы;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интегрировать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химические знания со знаниями других учебных предметов;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владение основами химической грамотности, включающей: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умение правильно использовать изученные вещества и материалы, 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среду.</w:t>
            </w:r>
          </w:p>
        </w:tc>
        <w:tc>
          <w:tcPr>
            <w:tcW w:w="850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84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2E7B5A" w:rsidRPr="00687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объяснять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связь положения элемента в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 xml:space="preserve">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использовать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модели для объяснения строения атомов и молекул</w:t>
            </w:r>
          </w:p>
        </w:tc>
        <w:tc>
          <w:tcPr>
            <w:tcW w:w="850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853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84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21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 периодической зависимости свойств химических элементов (радиус атома,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  <w:tc>
          <w:tcPr>
            <w:tcW w:w="850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84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определять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валентность и степень окисления химических элементов, заряд иона</w:t>
            </w:r>
          </w:p>
        </w:tc>
        <w:tc>
          <w:tcPr>
            <w:tcW w:w="850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84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определять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вид химической связи и тип кристаллической структуры в соединениях</w:t>
            </w:r>
          </w:p>
        </w:tc>
        <w:tc>
          <w:tcPr>
            <w:tcW w:w="850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84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 периодической зависимости свойств химических элементов (радиус атома,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), простых и сложных веществ от положения элементов в Периодической системе (в малых периодах и главных подгруппах) и электронного строения атома;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объяснять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  <w:tc>
          <w:tcPr>
            <w:tcW w:w="850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84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классифицировать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неорганические вещества</w:t>
            </w:r>
          </w:p>
        </w:tc>
        <w:tc>
          <w:tcPr>
            <w:tcW w:w="850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84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B05962" w:rsidRPr="00687F5C" w:rsidRDefault="00B05962" w:rsidP="00687F5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характеризовать физические и химические свойства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простых веществ (кислород, озон, водород,</w:t>
            </w:r>
          </w:p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графит, алмаз, кремний, азот, фосфор, сера, хлор, натрий, калий, магний, кальций, алюминий, железо); сложных веществ, в том числе их водных растворов (вода, аммиак,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сероводород, оксиды и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металлов I–IIA групп, алюминия, меди(II), цинка, железа(II и III); оксиды неметаллов: углерода(II и IV), кремния(IV), азота и фосфора(III и V), серы(IV и VI), сернистая, серная, азотистая, азотная, фосфорная, угольная, кремниевая кислота и их соли)</w:t>
            </w:r>
          </w:p>
        </w:tc>
        <w:tc>
          <w:tcPr>
            <w:tcW w:w="850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84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характеризовать физические и химические свойства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простых веществ (кислород, озон, водород, графит, алмаз, кремний, азот, фосфор, сера, хлор, натрий, калий, магний, кальций, алюминий, железо); сложных веществ, в том числе их водных растворов (вода, аммиак,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сероводород, оксиды и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металлов I–IIA групп, алюминия, меди(II), цинка, железа(II и III); оксиды неметаллов: углерода(II и IV), кремния(IV), азота и фосфора(III и V), серы(IV и VI), сернистая, серная, азотистая, азотная, фосфорная, угольная, кремниевая кислота и их соли); прогнозировать и характеризовать свойства веществ в зависимости от их состава и строения, применение веществ в зависимости от их свойств,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возможность протекания химических превращений в различных условиях</w:t>
            </w:r>
          </w:p>
        </w:tc>
        <w:tc>
          <w:tcPr>
            <w:tcW w:w="850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853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84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510E03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521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характеризовать физические и химические свойства,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</w:t>
            </w:r>
          </w:p>
        </w:tc>
        <w:tc>
          <w:tcPr>
            <w:tcW w:w="850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84" w:type="dxa"/>
          </w:tcPr>
          <w:p w:rsidR="00510E03" w:rsidRPr="00687F5C" w:rsidRDefault="00B05962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классифицировать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Наличие практических навыков планирования и осуществления следующих химических экспериментов: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Владение системой химических знаний и умение применять систему химических знаний,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которая включает теорию электролитической диссоциации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составлять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молекулярные и ионные уравнения реакций (в том числе) реакций ионного обмена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2E7B5A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ладение системой химических знаний и умение применять систему химических знаний,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которая включает важнейшие химические понятия: окислительно-восстановительные реакции, окислитель и восстановитель; умение определять окислитель и восстановитель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Владение / знание основ: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безопасной работы с химическими веществами, химической посудой и лабораторным оборудованием; правил безопасного обращения с веществами, используемыми в повседневной жизни, правил поведения в целях сбережения здоровья и окружающей природной среды; понимание вреда (опасности) воздействия на живые организмы определённых веществ; способов уменьшения и предотвращения их вредного воздействия; </w:t>
            </w:r>
            <w:r w:rsidRPr="00687F5C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наличие практических навыков планирования и осуществления следующих химических экспериментов: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изучение способов разделения смесей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CA4CBC" w:rsidRPr="00687F5C" w:rsidRDefault="00CA4CBC" w:rsidP="00687F5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Наличие практических навыков планирования и осуществления следующих химических экспериментов: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щелочей; химические эксперименты, иллюстрирующие признаки протекания реакций ионного обмена;</w:t>
            </w:r>
          </w:p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качественные реакции на присутствующие в водных растворах ионы: хлорид-, бромид-, иодид-, сульфат-, фосфат-, карбонат-,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силикат-анионы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гидроксид-ионы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, катионы аммония, магния, кальция, алюминия, железа (2+) и железа (3+), меди (2+), цинка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84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510E03" w:rsidRPr="00687F5C" w:rsidTr="00AD72D8">
        <w:tc>
          <w:tcPr>
            <w:tcW w:w="675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Владение основами химической грамотности, включающей: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интернет-ресурсы); умение интегрировать химические знания со знаниями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других учебных предметов; относительную молекулярную и молярную массы веществ, массовую долю химического элемента в соединении</w:t>
            </w:r>
          </w:p>
        </w:tc>
        <w:tc>
          <w:tcPr>
            <w:tcW w:w="850" w:type="dxa"/>
          </w:tcPr>
          <w:p w:rsidR="00510E03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853" w:type="dxa"/>
          </w:tcPr>
          <w:p w:rsidR="00510E03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84" w:type="dxa"/>
          </w:tcPr>
          <w:p w:rsidR="00510E03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CA4CBC" w:rsidRPr="00687F5C" w:rsidTr="00AD72D8">
        <w:tc>
          <w:tcPr>
            <w:tcW w:w="675" w:type="dxa"/>
          </w:tcPr>
          <w:p w:rsidR="00CA4CBC" w:rsidRPr="00687F5C" w:rsidRDefault="00CA4CBC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521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Представления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владение основами химической грамотности, включающей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  <w:tc>
          <w:tcPr>
            <w:tcW w:w="850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84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CA4CBC" w:rsidRPr="00687F5C" w:rsidTr="00AD72D8">
        <w:tc>
          <w:tcPr>
            <w:tcW w:w="675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составлять молекулярные и ионные уравнения реакций,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в том числе окислительно-восстановительных реакций</w:t>
            </w:r>
          </w:p>
        </w:tc>
        <w:tc>
          <w:tcPr>
            <w:tcW w:w="850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84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CA4CBC" w:rsidRPr="00687F5C" w:rsidTr="00AD72D8">
        <w:tc>
          <w:tcPr>
            <w:tcW w:w="675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составлять молекулярные и ионные уравнения реакций,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в том числе: реакций ионного обмена, окислительно-восстановительных реакций; иллюстрирующих химические свойства изученных классов/групп неорганических веществ, подтверждающих генетическую взаимосвязь между ними</w:t>
            </w:r>
          </w:p>
        </w:tc>
        <w:tc>
          <w:tcPr>
            <w:tcW w:w="850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84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CA4CBC" w:rsidRPr="00687F5C" w:rsidTr="00AD72D8">
        <w:tc>
          <w:tcPr>
            <w:tcW w:w="675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вычислять / проводить расчёты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массовой доли вещества в растворе; по уравнениям химических реакций находить количество вещества, объём и массу реагентов или продуктов реакции</w:t>
            </w:r>
          </w:p>
        </w:tc>
        <w:tc>
          <w:tcPr>
            <w:tcW w:w="850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CA4CBC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84" w:type="dxa"/>
          </w:tcPr>
          <w:p w:rsidR="00CA4CBC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2008F5" w:rsidRPr="00687F5C" w:rsidTr="00AD72D8">
        <w:tc>
          <w:tcPr>
            <w:tcW w:w="675" w:type="dxa"/>
          </w:tcPr>
          <w:p w:rsidR="002008F5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2008F5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Наличие практических навыков планирования и осуществления следующих химических экспериментов: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условиях; 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получение нерастворимых оснований; применение индикаторов (лакмуса, метилоранжа и фенолфталеина) для определения характера среды в растворах кислот и щелочей; вытеснение одного металла другим из раствора соли; исследование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свойств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алюминия и цинка; 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силикат-анионы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гидроксид-ионы</w:t>
            </w:r>
            <w:proofErr w:type="spellEnd"/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катионы аммония, магния, кальция, алюминия, железа (2+) и железа (3+), меди (2+), цинка;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умение представлять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результаты эксперимента в форме выводов, доказательств, графиков и таблиц и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 xml:space="preserve">выявлять эмпирические закономерности; </w:t>
            </w:r>
            <w:r w:rsidRPr="00687F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владение/знание основ: </w:t>
            </w: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решения; безопасной работы с химическими веществами, химической посудой и лабораторным оборудованием; 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  <w:tc>
          <w:tcPr>
            <w:tcW w:w="850" w:type="dxa"/>
          </w:tcPr>
          <w:p w:rsidR="002008F5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853" w:type="dxa"/>
          </w:tcPr>
          <w:p w:rsidR="002008F5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884" w:type="dxa"/>
          </w:tcPr>
          <w:p w:rsidR="002008F5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2008F5" w:rsidRPr="00687F5C" w:rsidTr="00AD72D8">
        <w:tc>
          <w:tcPr>
            <w:tcW w:w="675" w:type="dxa"/>
          </w:tcPr>
          <w:p w:rsidR="002008F5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521" w:type="dxa"/>
          </w:tcPr>
          <w:p w:rsidR="002008F5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eastAsia="TimesNewRoman" w:hAnsi="Times New Roman" w:cs="Times New Roman"/>
                <w:sz w:val="24"/>
                <w:szCs w:val="24"/>
              </w:rPr>
              <w:t>Правила безопасной работы в школьной лаборатории. Лабораторная посуда и оборудование. Разделение смесей и очистка веществ. Приготовление растворов.</w:t>
            </w:r>
          </w:p>
        </w:tc>
        <w:tc>
          <w:tcPr>
            <w:tcW w:w="850" w:type="dxa"/>
          </w:tcPr>
          <w:p w:rsidR="002008F5" w:rsidRPr="00687F5C" w:rsidRDefault="002008F5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2008F5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4" w:type="dxa"/>
          </w:tcPr>
          <w:p w:rsidR="002008F5" w:rsidRPr="00687F5C" w:rsidRDefault="003D26CF" w:rsidP="0068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10E03" w:rsidRPr="00687F5C" w:rsidRDefault="00510E03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F09" w:rsidRPr="00687F5C" w:rsidRDefault="004861B2" w:rsidP="0068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C">
        <w:rPr>
          <w:rFonts w:ascii="Times New Roman" w:hAnsi="Times New Roman" w:cs="Times New Roman"/>
          <w:b/>
          <w:sz w:val="24"/>
          <w:szCs w:val="24"/>
        </w:rPr>
        <w:t xml:space="preserve">Динамика среднего процента выполнения заданий </w:t>
      </w:r>
      <w:r w:rsidRPr="00687F5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87F5C">
        <w:rPr>
          <w:rFonts w:ascii="Times New Roman" w:hAnsi="Times New Roman" w:cs="Times New Roman"/>
          <w:b/>
          <w:sz w:val="24"/>
          <w:szCs w:val="24"/>
        </w:rPr>
        <w:t xml:space="preserve"> части КИМ за 2024 и 2025 года</w:t>
      </w:r>
    </w:p>
    <w:p w:rsidR="004861B2" w:rsidRPr="00687F5C" w:rsidRDefault="004861B2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 xml:space="preserve">(рассчитывается по формуле </w:t>
      </w:r>
      <w:proofErr w:type="spellStart"/>
      <w:r w:rsidRPr="00687F5C">
        <w:rPr>
          <w:rFonts w:ascii="Times New Roman" w:hAnsi="Times New Roman" w:cs="Times New Roman"/>
          <w:i/>
          <w:sz w:val="24"/>
          <w:szCs w:val="24"/>
        </w:rPr>
        <w:t>р=</w:t>
      </w:r>
      <w:proofErr w:type="spellEnd"/>
      <w:r w:rsidRPr="00687F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87F5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687F5C">
        <w:rPr>
          <w:rFonts w:ascii="Times New Roman" w:hAnsi="Times New Roman" w:cs="Times New Roman"/>
          <w:i/>
          <w:sz w:val="24"/>
          <w:szCs w:val="24"/>
        </w:rPr>
        <w:t>/</w:t>
      </w:r>
      <w:r w:rsidRPr="00687F5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687F5C">
        <w:rPr>
          <w:rFonts w:ascii="Times New Roman" w:hAnsi="Times New Roman" w:cs="Times New Roman"/>
          <w:i/>
          <w:sz w:val="24"/>
          <w:szCs w:val="24"/>
        </w:rPr>
        <w:t>∙</w:t>
      </w:r>
      <w:r w:rsidRPr="00687F5C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687F5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87F5C">
        <w:rPr>
          <w:rFonts w:ascii="Times New Roman" w:hAnsi="Times New Roman" w:cs="Times New Roman"/>
          <w:sz w:val="24"/>
          <w:szCs w:val="24"/>
        </w:rPr>
        <w:t xml:space="preserve">где </w:t>
      </w:r>
      <w:r w:rsidRPr="00687F5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87F5C">
        <w:rPr>
          <w:rFonts w:ascii="Times New Roman" w:hAnsi="Times New Roman" w:cs="Times New Roman"/>
          <w:sz w:val="24"/>
          <w:szCs w:val="24"/>
        </w:rPr>
        <w:t xml:space="preserve"> - сумма первичных баллов, полученных всеми участниками, </w:t>
      </w:r>
      <w:r w:rsidRPr="00687F5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87F5C">
        <w:rPr>
          <w:rFonts w:ascii="Times New Roman" w:hAnsi="Times New Roman" w:cs="Times New Roman"/>
          <w:sz w:val="24"/>
          <w:szCs w:val="24"/>
        </w:rPr>
        <w:t xml:space="preserve"> - количество участников, </w:t>
      </w:r>
      <w:r w:rsidRPr="00687F5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87F5C">
        <w:rPr>
          <w:rFonts w:ascii="Times New Roman" w:hAnsi="Times New Roman" w:cs="Times New Roman"/>
          <w:sz w:val="24"/>
          <w:szCs w:val="24"/>
        </w:rPr>
        <w:t xml:space="preserve"> - максимальный первичный балл)</w:t>
      </w:r>
    </w:p>
    <w:p w:rsidR="004861B2" w:rsidRPr="00687F5C" w:rsidRDefault="004861B2" w:rsidP="0068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B50" w:rsidRPr="00687F5C" w:rsidRDefault="00972934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60950" cy="2514600"/>
            <wp:effectExtent l="19050" t="0" r="2540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861B2" w:rsidRPr="00687F5C" w:rsidRDefault="004861B2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1B2" w:rsidRPr="00687F5C" w:rsidRDefault="004861B2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Обратите внимание на диаграмму:</w:t>
      </w:r>
    </w:p>
    <w:p w:rsidR="004861B2" w:rsidRPr="00687F5C" w:rsidRDefault="004861B2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1. Средний процент выполнения большинства заданий 1 части достаточно высок.</w:t>
      </w:r>
    </w:p>
    <w:p w:rsidR="004861B2" w:rsidRPr="00687F5C" w:rsidRDefault="004861B2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2. Из заданий базового уровня сложности нужно обратить внимание на следующие задания с резким понижением среднего процента выполнения</w:t>
      </w:r>
      <w:r w:rsidR="00934362" w:rsidRPr="00687F5C">
        <w:rPr>
          <w:rFonts w:ascii="Times New Roman" w:hAnsi="Times New Roman" w:cs="Times New Roman"/>
          <w:sz w:val="24"/>
          <w:szCs w:val="24"/>
        </w:rPr>
        <w:t>, а также эти задания выполнены на низком уровне в 2025 году - ниже 50%</w:t>
      </w:r>
      <w:r w:rsidRPr="00687F5C">
        <w:rPr>
          <w:rFonts w:ascii="Times New Roman" w:hAnsi="Times New Roman" w:cs="Times New Roman"/>
          <w:sz w:val="24"/>
          <w:szCs w:val="24"/>
        </w:rPr>
        <w:t>:</w:t>
      </w:r>
    </w:p>
    <w:p w:rsidR="004861B2" w:rsidRPr="00687F5C" w:rsidRDefault="00687F5C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>№8, проверяюще</w:t>
      </w:r>
      <w:r w:rsidR="004861B2" w:rsidRPr="00687F5C">
        <w:rPr>
          <w:rFonts w:ascii="Times New Roman" w:hAnsi="Times New Roman" w:cs="Times New Roman"/>
          <w:sz w:val="24"/>
          <w:szCs w:val="24"/>
        </w:rPr>
        <w:t>е знания химических свойств простых и сложных веществ</w:t>
      </w:r>
    </w:p>
    <w:p w:rsidR="00687F5C" w:rsidRPr="00687F5C" w:rsidRDefault="004861B2" w:rsidP="00687F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 xml:space="preserve">№14, </w:t>
      </w:r>
      <w:r w:rsidR="00934362" w:rsidRPr="00687F5C">
        <w:rPr>
          <w:rFonts w:ascii="Times New Roman" w:hAnsi="Times New Roman" w:cs="Times New Roman"/>
          <w:sz w:val="24"/>
          <w:szCs w:val="24"/>
        </w:rPr>
        <w:t xml:space="preserve">проверяющее </w:t>
      </w:r>
      <w:r w:rsidR="00934362" w:rsidRPr="00687F5C">
        <w:rPr>
          <w:rFonts w:ascii="Times New Roman" w:hAnsi="Times New Roman" w:cs="Times New Roman"/>
          <w:bCs/>
          <w:sz w:val="24"/>
          <w:szCs w:val="24"/>
        </w:rPr>
        <w:t>у</w:t>
      </w:r>
      <w:r w:rsidR="00934362" w:rsidRPr="00687F5C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мение составлять </w:t>
      </w:r>
      <w:r w:rsidR="00934362" w:rsidRPr="00687F5C">
        <w:rPr>
          <w:rFonts w:ascii="Times New Roman" w:eastAsia="TimesNewRoman" w:hAnsi="Times New Roman" w:cs="Times New Roman"/>
          <w:sz w:val="24"/>
          <w:szCs w:val="24"/>
        </w:rPr>
        <w:t>молекулярные и ионные уравнения реакций (в том числе) реакций ионного обмена.</w:t>
      </w:r>
      <w:r w:rsidR="00687F5C" w:rsidRPr="00687F5C">
        <w:rPr>
          <w:rFonts w:ascii="Times New Roman" w:eastAsia="TimesNewRoman" w:hAnsi="Times New Roman" w:cs="Times New Roman"/>
          <w:sz w:val="24"/>
          <w:szCs w:val="24"/>
        </w:rPr>
        <w:t xml:space="preserve"> Видимо, </w:t>
      </w:r>
      <w:r w:rsidR="00687F5C" w:rsidRPr="00687F5C">
        <w:rPr>
          <w:rFonts w:ascii="Times New Roman" w:eastAsia="Times New Roman" w:hAnsi="Times New Roman" w:cs="Times New Roman"/>
          <w:sz w:val="24"/>
          <w:szCs w:val="24"/>
        </w:rPr>
        <w:t>не в должной мере сформирован навык написания уравнений диссоциации, распада веществ на ионы. На момент экзамена у выпускников остались вопросы, недопонимания. Данные задания вполне решаемы для любого выпускника.</w:t>
      </w:r>
    </w:p>
    <w:p w:rsidR="004861B2" w:rsidRPr="00687F5C" w:rsidRDefault="004861B2" w:rsidP="00687F5C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934362" w:rsidRPr="00687F5C" w:rsidRDefault="00934362" w:rsidP="00687F5C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87F5C">
        <w:rPr>
          <w:rFonts w:ascii="Times New Roman" w:eastAsia="TimesNewRoman" w:hAnsi="Times New Roman" w:cs="Times New Roman"/>
          <w:sz w:val="24"/>
          <w:szCs w:val="24"/>
        </w:rPr>
        <w:t>№16, охватывающее огромный объем знаний и умений учащихся.</w:t>
      </w:r>
      <w:r w:rsidR="00687F5C" w:rsidRPr="00687F5C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87F5C" w:rsidRPr="00687F5C">
        <w:rPr>
          <w:rFonts w:ascii="Times New Roman" w:eastAsia="Times New Roman" w:hAnsi="Times New Roman" w:cs="Times New Roman"/>
          <w:sz w:val="24"/>
          <w:szCs w:val="24"/>
        </w:rPr>
        <w:t>Данное задание традиционно вызывает затруднения. Все задания, в которых четко не обозначено количество верных ответов, являются заданиями с повышенной степенью риска неверного выполнения.</w:t>
      </w:r>
    </w:p>
    <w:p w:rsidR="00934362" w:rsidRPr="00687F5C" w:rsidRDefault="00934362" w:rsidP="00687F5C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87F5C">
        <w:rPr>
          <w:rFonts w:ascii="Times New Roman" w:eastAsia="TimesNewRoman" w:hAnsi="Times New Roman" w:cs="Times New Roman"/>
          <w:sz w:val="24"/>
          <w:szCs w:val="24"/>
        </w:rPr>
        <w:lastRenderedPageBreak/>
        <w:t>3. Из заданий повышенного уровня сложности нет заданий, выполненных ниже 15%, но  обратите внимание на резкое понижение среднего процента выполнения в следующих заданиях:</w:t>
      </w:r>
    </w:p>
    <w:p w:rsidR="00934362" w:rsidRPr="00687F5C" w:rsidRDefault="00934362" w:rsidP="00687F5C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87F5C">
        <w:rPr>
          <w:rFonts w:ascii="Times New Roman" w:eastAsia="TimesNewRoman" w:hAnsi="Times New Roman" w:cs="Times New Roman"/>
          <w:sz w:val="24"/>
          <w:szCs w:val="24"/>
        </w:rPr>
        <w:t>№10, на у</w:t>
      </w:r>
      <w:r w:rsidRPr="00687F5C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мение характеризовать физические и химические свойства, </w:t>
      </w:r>
      <w:r w:rsidRPr="00687F5C">
        <w:rPr>
          <w:rFonts w:ascii="Times New Roman" w:eastAsia="TimesNewRoman" w:hAnsi="Times New Roman" w:cs="Times New Roman"/>
          <w:sz w:val="24"/>
          <w:szCs w:val="24"/>
        </w:rPr>
        <w:t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условиях.</w:t>
      </w:r>
      <w:r w:rsidR="00687F5C" w:rsidRPr="00687F5C">
        <w:rPr>
          <w:rFonts w:ascii="Times New Roman" w:eastAsia="TimesNewRoman" w:hAnsi="Times New Roman" w:cs="Times New Roman"/>
          <w:sz w:val="24"/>
          <w:szCs w:val="24"/>
        </w:rPr>
        <w:t xml:space="preserve"> Это задание проверяет аналогичные элементы содержания, что и задание базового уровня сложности №8</w:t>
      </w:r>
    </w:p>
    <w:p w:rsidR="00934362" w:rsidRPr="00687F5C" w:rsidRDefault="00934362" w:rsidP="00687F5C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87F5C">
        <w:rPr>
          <w:rFonts w:ascii="Times New Roman" w:eastAsia="TimesNewRoman" w:hAnsi="Times New Roman" w:cs="Times New Roman"/>
          <w:sz w:val="24"/>
          <w:szCs w:val="24"/>
        </w:rPr>
        <w:t>№17, на знание качественных реакций на катионы и анионы, умение различать их.</w:t>
      </w:r>
      <w:r w:rsidR="00687F5C" w:rsidRPr="00687F5C">
        <w:rPr>
          <w:rFonts w:ascii="Times New Roman" w:eastAsia="TimesNewRoman" w:hAnsi="Times New Roman" w:cs="Times New Roman"/>
          <w:sz w:val="24"/>
          <w:szCs w:val="24"/>
        </w:rPr>
        <w:t xml:space="preserve"> Это свидетельствует о недостаточном уровне </w:t>
      </w:r>
      <w:proofErr w:type="spellStart"/>
      <w:r w:rsidR="00687F5C" w:rsidRPr="00687F5C">
        <w:rPr>
          <w:rFonts w:ascii="Times New Roman" w:eastAsia="TimesNewRoman" w:hAnsi="Times New Roman" w:cs="Times New Roman"/>
          <w:sz w:val="24"/>
          <w:szCs w:val="24"/>
        </w:rPr>
        <w:t>сформированности</w:t>
      </w:r>
      <w:proofErr w:type="spellEnd"/>
      <w:r w:rsidR="00687F5C" w:rsidRPr="00687F5C">
        <w:rPr>
          <w:rFonts w:ascii="Times New Roman" w:eastAsia="TimesNewRoman" w:hAnsi="Times New Roman" w:cs="Times New Roman"/>
          <w:sz w:val="24"/>
          <w:szCs w:val="24"/>
        </w:rPr>
        <w:t xml:space="preserve"> знаний по качественным реакциям на катионы и анионы. </w:t>
      </w:r>
      <w:r w:rsidR="00687F5C" w:rsidRPr="00687F5C">
        <w:rPr>
          <w:rFonts w:ascii="Times New Roman" w:eastAsia="Times New Roman" w:hAnsi="Times New Roman" w:cs="Times New Roman"/>
          <w:sz w:val="24"/>
          <w:szCs w:val="24"/>
        </w:rPr>
        <w:t>Причем главным в данном задании является, не просто знание конкретных свойств, а возможность применять данные знания для решения аналитической задачи на распознавание веществ.</w:t>
      </w:r>
    </w:p>
    <w:p w:rsidR="002716BD" w:rsidRPr="00687F5C" w:rsidRDefault="002716BD" w:rsidP="00687F5C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2716BD" w:rsidRPr="00687F5C" w:rsidRDefault="002716BD" w:rsidP="0068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C">
        <w:rPr>
          <w:rFonts w:ascii="Times New Roman" w:hAnsi="Times New Roman" w:cs="Times New Roman"/>
          <w:b/>
          <w:sz w:val="24"/>
          <w:szCs w:val="24"/>
        </w:rPr>
        <w:t xml:space="preserve">Динамика среднего процента выполнения заданий </w:t>
      </w:r>
      <w:r w:rsidRPr="00687F5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87F5C">
        <w:rPr>
          <w:rFonts w:ascii="Times New Roman" w:hAnsi="Times New Roman" w:cs="Times New Roman"/>
          <w:b/>
          <w:sz w:val="24"/>
          <w:szCs w:val="24"/>
        </w:rPr>
        <w:t xml:space="preserve"> части КИМ за 2024 и 2025 года</w:t>
      </w:r>
    </w:p>
    <w:p w:rsidR="00934362" w:rsidRPr="00687F5C" w:rsidRDefault="002716BD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87F5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84750" cy="2641600"/>
            <wp:effectExtent l="19050" t="0" r="25400" b="635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87F5C" w:rsidRDefault="002716BD" w:rsidP="00687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F5C">
        <w:rPr>
          <w:rFonts w:ascii="Times New Roman" w:hAnsi="Times New Roman" w:cs="Times New Roman"/>
          <w:sz w:val="24"/>
          <w:szCs w:val="24"/>
        </w:rPr>
        <w:t xml:space="preserve">Исходя из данных диаграммы, видно что средний процент выполнения </w:t>
      </w:r>
      <w:r w:rsidR="00A8138F" w:rsidRPr="00687F5C">
        <w:rPr>
          <w:rFonts w:ascii="Times New Roman" w:hAnsi="Times New Roman" w:cs="Times New Roman"/>
          <w:sz w:val="24"/>
          <w:szCs w:val="24"/>
        </w:rPr>
        <w:t xml:space="preserve">2 части КИМ ОГЭ </w:t>
      </w:r>
      <w:r w:rsidRPr="00687F5C">
        <w:rPr>
          <w:rFonts w:ascii="Times New Roman" w:hAnsi="Times New Roman" w:cs="Times New Roman"/>
          <w:sz w:val="24"/>
          <w:szCs w:val="24"/>
        </w:rPr>
        <w:t>стабилен в течение 2-х лет. Но необходимо отметить понижение процента выполнения практического задания, хотя сравнивать это задание в данные года не совсем корректно.</w:t>
      </w:r>
      <w:r w:rsidR="00A8138F" w:rsidRPr="00687F5C">
        <w:rPr>
          <w:rFonts w:ascii="Times New Roman" w:hAnsi="Times New Roman" w:cs="Times New Roman"/>
          <w:sz w:val="24"/>
          <w:szCs w:val="24"/>
        </w:rPr>
        <w:t xml:space="preserve"> тем не менее, скорее всего, сказывается изменение формата практического задания на качестве его выполнения.</w:t>
      </w:r>
    </w:p>
    <w:p w:rsidR="00687F5C" w:rsidRPr="00687F5C" w:rsidRDefault="00687F5C" w:rsidP="000E40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434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Выводы о вероятных причинах затруднений и типичных ошибок обучающихся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муниципального округа</w:t>
      </w:r>
    </w:p>
    <w:p w:rsidR="00687F5C" w:rsidRPr="00566072" w:rsidRDefault="00687F5C" w:rsidP="00687F5C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66072">
        <w:rPr>
          <w:rFonts w:ascii="Times New Roman" w:hAnsi="Times New Roman"/>
          <w:sz w:val="24"/>
          <w:szCs w:val="24"/>
        </w:rPr>
        <w:t>1. Выпускники не понимают взаимосвязь тем школьного курса химии. В должной мере не умеют классифицировать информацию, структурировать, применять и преобразовывать знаки и символы, модели и схемы для решения учебных и познавательных задач. Выученный материал не выстраивается для учеников в целостную общую картину химического знания, они не видят взаимосвязь изученных тем, в частности химических свойств основных классов соединений,</w:t>
      </w:r>
    </w:p>
    <w:p w:rsidR="00687F5C" w:rsidRPr="00566072" w:rsidRDefault="00687F5C" w:rsidP="00687F5C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66072">
        <w:rPr>
          <w:rFonts w:ascii="Times New Roman" w:hAnsi="Times New Roman"/>
          <w:sz w:val="24"/>
          <w:szCs w:val="24"/>
        </w:rPr>
        <w:t>2. Нежелание учащихся самостоятельно пополнять свои знания, глубоко вникать в изучаемую проблему и предполагать пути ее решения.</w:t>
      </w:r>
    </w:p>
    <w:p w:rsidR="00687F5C" w:rsidRPr="00566072" w:rsidRDefault="00687F5C" w:rsidP="00687F5C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660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566072">
        <w:rPr>
          <w:rFonts w:ascii="Times New Roman" w:hAnsi="Times New Roman"/>
          <w:sz w:val="24"/>
          <w:szCs w:val="24"/>
        </w:rPr>
        <w:t xml:space="preserve">Возможной причиной </w:t>
      </w:r>
      <w:proofErr w:type="spellStart"/>
      <w:r w:rsidRPr="00566072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566072">
        <w:rPr>
          <w:rFonts w:ascii="Times New Roman" w:hAnsi="Times New Roman"/>
          <w:sz w:val="24"/>
          <w:szCs w:val="24"/>
        </w:rPr>
        <w:t xml:space="preserve"> большинства выпускников стало неправильное прочтение текста задания, а, следовательно, недостаточная </w:t>
      </w:r>
      <w:proofErr w:type="spellStart"/>
      <w:r w:rsidRPr="0056607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66072">
        <w:rPr>
          <w:rFonts w:ascii="Times New Roman" w:hAnsi="Times New Roman"/>
          <w:sz w:val="24"/>
          <w:szCs w:val="24"/>
        </w:rPr>
        <w:t xml:space="preserve"> навыков функционального чтения.</w:t>
      </w:r>
    </w:p>
    <w:p w:rsidR="00687F5C" w:rsidRDefault="00687F5C" w:rsidP="00687F5C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66072">
        <w:rPr>
          <w:rFonts w:ascii="Times New Roman" w:hAnsi="Times New Roman"/>
          <w:sz w:val="24"/>
          <w:szCs w:val="24"/>
        </w:rPr>
        <w:t>4. Низкая математическая грамотность.</w:t>
      </w:r>
    </w:p>
    <w:p w:rsidR="00687F5C" w:rsidRPr="00B37A23" w:rsidRDefault="00687F5C" w:rsidP="00687F5C">
      <w:pPr>
        <w:pStyle w:val="Default"/>
      </w:pPr>
      <w:r>
        <w:t xml:space="preserve">5. </w:t>
      </w:r>
      <w:r w:rsidRPr="00B37A23">
        <w:t>Вероятн</w:t>
      </w:r>
      <w:r>
        <w:t>ой</w:t>
      </w:r>
      <w:r w:rsidRPr="00B37A23">
        <w:t xml:space="preserve"> причиной затруднений является большой теоретический материал по предмету химия, большое количество терминов. Не все учащиеся могут запомнить такой объем материала и систематизировать его на </w:t>
      </w:r>
      <w:r w:rsidR="000E40D1">
        <w:t>достаточно хорошем уровне.</w:t>
      </w:r>
    </w:p>
    <w:p w:rsidR="00687F5C" w:rsidRPr="00B425C5" w:rsidRDefault="00687F5C" w:rsidP="00B42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25C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ЕГЭ как показатель качества образования по химии.</w:t>
      </w:r>
    </w:p>
    <w:p w:rsidR="00B425C5" w:rsidRDefault="00CD7E14" w:rsidP="00B42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25C5">
        <w:rPr>
          <w:rFonts w:ascii="Times New Roman" w:hAnsi="Times New Roman" w:cs="Times New Roman"/>
          <w:sz w:val="24"/>
          <w:szCs w:val="24"/>
        </w:rPr>
        <w:t xml:space="preserve">Если рассматривать изменения в структуре КИМ ЕГЭ по химии за последние три года, то информация на сайте ФИПИ следующая: </w:t>
      </w:r>
      <w:r w:rsidRPr="00B425C5">
        <w:rPr>
          <w:rFonts w:ascii="Times New Roman" w:hAnsi="Times New Roman" w:cs="Times New Roman"/>
          <w:i/>
          <w:sz w:val="24"/>
          <w:szCs w:val="24"/>
        </w:rPr>
        <w:t>"Изменения структуры и содержания КИМ отсутствуют".</w:t>
      </w:r>
      <w:r w:rsidRPr="00B425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E14" w:rsidRPr="00B425C5" w:rsidRDefault="00B425C5" w:rsidP="00B42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7E14" w:rsidRPr="00B425C5">
        <w:rPr>
          <w:rFonts w:ascii="Times New Roman" w:hAnsi="Times New Roman" w:cs="Times New Roman"/>
          <w:sz w:val="24"/>
          <w:szCs w:val="24"/>
        </w:rPr>
        <w:t xml:space="preserve">Но в 2025 году были внесены коррективы в модель задания 17: вместо задания на выбор нескольких вариантов ответа будет использовано задание на установление соответствия между позициями двух множеств. Новым стало в 2025 году понятие "молярная концентрация", но, по словам Д. </w:t>
      </w:r>
      <w:proofErr w:type="spellStart"/>
      <w:r w:rsidR="00CD7E14" w:rsidRPr="00B425C5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="00CD7E14" w:rsidRPr="00B425C5">
        <w:rPr>
          <w:rFonts w:ascii="Times New Roman" w:hAnsi="Times New Roman" w:cs="Times New Roman"/>
          <w:sz w:val="24"/>
          <w:szCs w:val="24"/>
        </w:rPr>
        <w:t xml:space="preserve"> это не влияет никак на сложность задания 34. </w:t>
      </w:r>
    </w:p>
    <w:p w:rsidR="00FD6077" w:rsidRPr="00B425C5" w:rsidRDefault="00B425C5" w:rsidP="00B425C5">
      <w:pPr>
        <w:pStyle w:val="a9"/>
        <w:spacing w:before="0" w:beforeAutospacing="0" w:after="0" w:afterAutospacing="0"/>
      </w:pPr>
      <w:r>
        <w:tab/>
      </w:r>
      <w:r w:rsidR="00CD7E14" w:rsidRPr="00B425C5">
        <w:t>В целом в 2026 году структура КИМ</w:t>
      </w:r>
      <w:r w:rsidR="00FD6077" w:rsidRPr="00B425C5">
        <w:t xml:space="preserve"> в ЕГЭ по химии не поменялась. </w:t>
      </w:r>
      <w:r w:rsidR="00F240A0">
        <w:t xml:space="preserve">Задание №23 перешло из повышенного в разряд базового уровня сложности, но количество баллов осталось прежним (2 б). </w:t>
      </w:r>
      <w:r>
        <w:t>Но м</w:t>
      </w:r>
      <w:r w:rsidR="00FD6077" w:rsidRPr="00B425C5">
        <w:t xml:space="preserve">ожно сказать, что ДЕМО 2026 еще сильнее стало отражать уровень сложности настоящего экзамена! </w:t>
      </w:r>
      <w:r w:rsidR="00FD6077" w:rsidRPr="00FD6077">
        <w:t xml:space="preserve">Также зафиксированы изменения в спецификации задания 33. </w:t>
      </w:r>
      <w:r w:rsidR="00FD6077" w:rsidRPr="00B425C5">
        <w:t xml:space="preserve">Традиционно в задании №33 ЕГЭ по химии представлены задачи с расчетом по массовым долям всех элементов или по продуктам сгорания. Такой выбор обоснован проверяемыми элементами содержания по спецификации к экзамену. </w:t>
      </w:r>
      <w:r w:rsidR="00FD6077" w:rsidRPr="00B425C5">
        <w:rPr>
          <w:b/>
          <w:bCs/>
        </w:rPr>
        <w:t>Но спецификация меняется и задания тоже неизбежно меняются.</w:t>
      </w:r>
      <w:r w:rsidR="00FD6077" w:rsidRPr="00B425C5">
        <w:t xml:space="preserve"> Давайте обратим внимание на изменения, которые могут произойти в задаче №33. Для начала рассмотрим изменение содержания задания №33 по спецификации к экзамену:</w:t>
      </w:r>
    </w:p>
    <w:p w:rsidR="00FD6077" w:rsidRPr="00B425C5" w:rsidRDefault="00FD6077" w:rsidP="00B425C5">
      <w:pPr>
        <w:pStyle w:val="content--common-blockblock-3u"/>
        <w:spacing w:before="0" w:beforeAutospacing="0" w:after="0" w:afterAutospacing="0"/>
      </w:pPr>
      <w:r w:rsidRPr="00B425C5">
        <w:t xml:space="preserve">Обратим внимание на то, что изменилось с прошлого года: </w:t>
      </w:r>
      <w:r w:rsidRPr="00B425C5">
        <w:br/>
      </w:r>
      <w:r w:rsidRPr="00B425C5">
        <w:rPr>
          <w:b/>
          <w:bCs/>
        </w:rPr>
        <w:t>2025 г</w:t>
      </w:r>
      <w:r w:rsidRPr="00B425C5">
        <w:br/>
      </w:r>
      <w:r w:rsidRPr="00B425C5">
        <w:rPr>
          <w:i/>
          <w:iCs/>
        </w:rPr>
        <w:t>Нахождение молекулярной формулы органического вещества по его плотности и массовым долям элементов, входящих в его состав, или по продуктам сгорания; установление структурной формулы органического вещества на основе его химических свойств или способов получения.</w:t>
      </w:r>
    </w:p>
    <w:p w:rsidR="00FD6077" w:rsidRPr="00C33E79" w:rsidRDefault="00FD6077" w:rsidP="00C33E79">
      <w:pPr>
        <w:pStyle w:val="content--common-blockblock-3u"/>
        <w:spacing w:before="0" w:beforeAutospacing="0" w:after="0" w:afterAutospacing="0"/>
      </w:pPr>
      <w:r w:rsidRPr="00B425C5">
        <w:rPr>
          <w:b/>
          <w:bCs/>
        </w:rPr>
        <w:t>2026 г</w:t>
      </w:r>
      <w:r w:rsidRPr="00B425C5">
        <w:br/>
      </w:r>
      <w:r w:rsidRPr="00B425C5">
        <w:rPr>
          <w:i/>
        </w:rPr>
        <w:t>"</w:t>
      </w:r>
      <w:r w:rsidRPr="00B425C5">
        <w:rPr>
          <w:b/>
          <w:bCs/>
          <w:i/>
        </w:rPr>
        <w:t>Расчёты массы вещества или объёма газов по известному количеству вещества, массе или объёму одного из участвующих в реакции веществ.</w:t>
      </w:r>
      <w:r w:rsidRPr="00B425C5">
        <w:rPr>
          <w:i/>
          <w:iCs/>
        </w:rPr>
        <w:t xml:space="preserve"> Нахождение молекулярной формулы органического вещества по его плотности и массовым долям элемент</w:t>
      </w:r>
      <w:r w:rsidRPr="00C33E79">
        <w:rPr>
          <w:i/>
          <w:iCs/>
        </w:rPr>
        <w:t>ов, входящих в его состав, или по продуктам сгорания; установление структурной формулы органического вещества на основе его химических свойств или способов получения</w:t>
      </w:r>
      <w:r w:rsidRPr="00C33E79">
        <w:t>".</w:t>
      </w:r>
    </w:p>
    <w:p w:rsidR="00FD6077" w:rsidRPr="00C33E79" w:rsidRDefault="00FD6077" w:rsidP="00C33E79">
      <w:pPr>
        <w:pStyle w:val="content--common-blockblock-3u"/>
        <w:spacing w:before="0" w:beforeAutospacing="0" w:after="0" w:afterAutospacing="0"/>
      </w:pPr>
      <w:r w:rsidRPr="00C33E79">
        <w:t xml:space="preserve">Добавили </w:t>
      </w:r>
      <w:r w:rsidRPr="00C33E79">
        <w:rPr>
          <w:b/>
          <w:bCs/>
        </w:rPr>
        <w:t>первое предложение</w:t>
      </w:r>
      <w:r w:rsidRPr="00C33E79">
        <w:t xml:space="preserve"> и формально ничего не поменялось, ведь нахождение формулы вещества остается по процентам/продуктам горения, но все-таки это предложение интригует. </w:t>
      </w:r>
    </w:p>
    <w:p w:rsidR="00687F5C" w:rsidRPr="00C33E79" w:rsidRDefault="00FD6077" w:rsidP="00C33E79">
      <w:pPr>
        <w:pStyle w:val="content--common-blockblock-3u"/>
        <w:spacing w:before="0" w:beforeAutospacing="0" w:after="0" w:afterAutospacing="0"/>
      </w:pPr>
      <w:r w:rsidRPr="00C33E79">
        <w:t xml:space="preserve">!!!В добавление к этому в сборнике вариантов ЕГЭ по химии 2026 (под редакцией Д.Ю. </w:t>
      </w:r>
      <w:proofErr w:type="spellStart"/>
      <w:r w:rsidRPr="00C33E79">
        <w:t>Добротина</w:t>
      </w:r>
      <w:proofErr w:type="spellEnd"/>
      <w:r w:rsidRPr="00C33E79">
        <w:t xml:space="preserve">) среди различных заданий №33 были опубликованы два новых типа расчета молекулярной </w:t>
      </w:r>
      <w:r w:rsidR="00B425C5" w:rsidRPr="00C33E79">
        <w:t>формулы органического вещества.</w:t>
      </w:r>
    </w:p>
    <w:p w:rsidR="00B425C5" w:rsidRPr="00C33E79" w:rsidRDefault="00B425C5" w:rsidP="00C33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E7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участников ЕГЭ по химии: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B425C5" w:rsidRPr="00C33E79" w:rsidTr="00B425C5">
        <w:tc>
          <w:tcPr>
            <w:tcW w:w="3190" w:type="dxa"/>
          </w:tcPr>
          <w:p w:rsidR="00B425C5" w:rsidRPr="00C33E79" w:rsidRDefault="00B425C5" w:rsidP="00C3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E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3190" w:type="dxa"/>
          </w:tcPr>
          <w:p w:rsidR="00B425C5" w:rsidRPr="00C33E79" w:rsidRDefault="00B425C5" w:rsidP="00C3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E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191" w:type="dxa"/>
          </w:tcPr>
          <w:p w:rsidR="00B425C5" w:rsidRPr="00C33E79" w:rsidRDefault="00B425C5" w:rsidP="00C3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E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2026</w:t>
            </w:r>
          </w:p>
        </w:tc>
      </w:tr>
      <w:tr w:rsidR="00B425C5" w:rsidRPr="00C33E79" w:rsidTr="00B425C5">
        <w:tc>
          <w:tcPr>
            <w:tcW w:w="3190" w:type="dxa"/>
          </w:tcPr>
          <w:p w:rsidR="00B425C5" w:rsidRPr="00C33E79" w:rsidRDefault="00B425C5" w:rsidP="00C3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E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чел</w:t>
            </w:r>
          </w:p>
        </w:tc>
        <w:tc>
          <w:tcPr>
            <w:tcW w:w="3190" w:type="dxa"/>
          </w:tcPr>
          <w:p w:rsidR="00B425C5" w:rsidRPr="00C33E79" w:rsidRDefault="00B425C5" w:rsidP="00C3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3E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чел</w:t>
            </w:r>
          </w:p>
        </w:tc>
        <w:tc>
          <w:tcPr>
            <w:tcW w:w="3191" w:type="dxa"/>
          </w:tcPr>
          <w:p w:rsidR="00B425C5" w:rsidRPr="00C33E79" w:rsidRDefault="00552F31" w:rsidP="00C33E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425C5" w:rsidRPr="00C33E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чел</w:t>
            </w:r>
          </w:p>
        </w:tc>
      </w:tr>
    </w:tbl>
    <w:p w:rsidR="00B425C5" w:rsidRPr="00C33E79" w:rsidRDefault="00B425C5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E79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11724">
        <w:rPr>
          <w:rFonts w:ascii="Times New Roman" w:hAnsi="Times New Roman" w:cs="Times New Roman"/>
          <w:sz w:val="24"/>
          <w:szCs w:val="24"/>
        </w:rPr>
        <w:t>2024-2025 годов</w:t>
      </w:r>
      <w:r w:rsidRPr="00C33E79">
        <w:rPr>
          <w:rFonts w:ascii="Times New Roman" w:hAnsi="Times New Roman" w:cs="Times New Roman"/>
          <w:sz w:val="24"/>
          <w:szCs w:val="24"/>
        </w:rPr>
        <w:t xml:space="preserve"> наибольшее количество выпускников, сдававших ЕГЭ по химии</w:t>
      </w:r>
      <w:r w:rsidR="00511724">
        <w:rPr>
          <w:rFonts w:ascii="Times New Roman" w:hAnsi="Times New Roman" w:cs="Times New Roman"/>
          <w:sz w:val="24"/>
          <w:szCs w:val="24"/>
        </w:rPr>
        <w:t xml:space="preserve"> было в </w:t>
      </w:r>
      <w:r w:rsidRPr="00C33E79">
        <w:rPr>
          <w:rFonts w:ascii="Times New Roman" w:hAnsi="Times New Roman" w:cs="Times New Roman"/>
          <w:sz w:val="24"/>
          <w:szCs w:val="24"/>
        </w:rPr>
        <w:t xml:space="preserve">МАОУ "СОШ №3 им. Героя Советского Союза И.А. Акимова". </w:t>
      </w:r>
      <w:r w:rsidR="00C33E79" w:rsidRPr="00C33E79">
        <w:rPr>
          <w:rFonts w:ascii="Times New Roman" w:hAnsi="Times New Roman" w:cs="Times New Roman"/>
          <w:sz w:val="24"/>
          <w:szCs w:val="24"/>
        </w:rPr>
        <w:t>Но в 2026 году 5 выпускников из 12 (42%) из СОШ №117!</w:t>
      </w:r>
    </w:p>
    <w:p w:rsidR="00C33E79" w:rsidRPr="00C33E79" w:rsidRDefault="00C33E79" w:rsidP="00C33E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E79">
        <w:rPr>
          <w:rFonts w:ascii="Times New Roman" w:hAnsi="Times New Roman" w:cs="Times New Roman"/>
          <w:b/>
          <w:sz w:val="24"/>
          <w:szCs w:val="24"/>
        </w:rPr>
        <w:t>Средний тестовый балл ЕГЭ по химии за последние 3 года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C33E79" w:rsidRPr="00C33E79" w:rsidTr="00C33E79">
        <w:tc>
          <w:tcPr>
            <w:tcW w:w="3190" w:type="dxa"/>
          </w:tcPr>
          <w:p w:rsidR="00C33E79" w:rsidRPr="00C33E79" w:rsidRDefault="00C33E79" w:rsidP="00C33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7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190" w:type="dxa"/>
          </w:tcPr>
          <w:p w:rsidR="00C33E79" w:rsidRPr="00C33E79" w:rsidRDefault="00C33E79" w:rsidP="00C33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7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91" w:type="dxa"/>
          </w:tcPr>
          <w:p w:rsidR="00C33E79" w:rsidRPr="00C33E79" w:rsidRDefault="00C33E79" w:rsidP="00C33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7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33E79" w:rsidRPr="00C33E79" w:rsidTr="00C33E79">
        <w:tc>
          <w:tcPr>
            <w:tcW w:w="3190" w:type="dxa"/>
          </w:tcPr>
          <w:p w:rsidR="00C33E79" w:rsidRPr="00C33E79" w:rsidRDefault="00C33E79" w:rsidP="00C33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90" w:type="dxa"/>
          </w:tcPr>
          <w:p w:rsidR="00C33E79" w:rsidRPr="00C33E79" w:rsidRDefault="00C33E79" w:rsidP="00C33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7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91" w:type="dxa"/>
          </w:tcPr>
          <w:p w:rsidR="00C33E79" w:rsidRPr="00C33E79" w:rsidRDefault="00C33E79" w:rsidP="00C33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E7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C33E79" w:rsidRDefault="00C33E79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E7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714750" cy="1468120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33E79" w:rsidRPr="000B5EDC" w:rsidRDefault="00C33E79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DC">
        <w:rPr>
          <w:rFonts w:ascii="Times New Roman" w:hAnsi="Times New Roman" w:cs="Times New Roman"/>
          <w:sz w:val="24"/>
          <w:szCs w:val="24"/>
        </w:rPr>
        <w:t>Максимальное значение средний тестовый балл достиг в 2024 году</w:t>
      </w:r>
    </w:p>
    <w:p w:rsidR="00C33E79" w:rsidRPr="000B5EDC" w:rsidRDefault="00C33E79" w:rsidP="00C33E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DC">
        <w:rPr>
          <w:rFonts w:ascii="Times New Roman" w:hAnsi="Times New Roman" w:cs="Times New Roman"/>
          <w:b/>
          <w:sz w:val="24"/>
          <w:szCs w:val="24"/>
        </w:rPr>
        <w:t>Динамика результатов ЕГЭ по предмету за последние 2 года</w:t>
      </w:r>
    </w:p>
    <w:tbl>
      <w:tblPr>
        <w:tblStyle w:val="a7"/>
        <w:tblW w:w="0" w:type="auto"/>
        <w:tblLook w:val="04A0"/>
      </w:tblPr>
      <w:tblGrid>
        <w:gridCol w:w="594"/>
        <w:gridCol w:w="4374"/>
        <w:gridCol w:w="3036"/>
        <w:gridCol w:w="1567"/>
      </w:tblGrid>
      <w:tr w:rsidR="00C33E79" w:rsidRPr="000B5EDC" w:rsidTr="00C33E79">
        <w:tc>
          <w:tcPr>
            <w:tcW w:w="594" w:type="dxa"/>
            <w:vMerge w:val="restart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4" w:type="dxa"/>
            <w:vMerge w:val="restart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Участников, набравших балл</w:t>
            </w:r>
          </w:p>
        </w:tc>
        <w:tc>
          <w:tcPr>
            <w:tcW w:w="4603" w:type="dxa"/>
            <w:gridSpan w:val="2"/>
          </w:tcPr>
          <w:p w:rsidR="00C33E79" w:rsidRPr="000B5EDC" w:rsidRDefault="00C33E79" w:rsidP="00C33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Год проведения ЕГЭ</w:t>
            </w:r>
          </w:p>
        </w:tc>
      </w:tr>
      <w:tr w:rsidR="00C33E79" w:rsidRPr="000B5EDC" w:rsidTr="00C33E79">
        <w:tc>
          <w:tcPr>
            <w:tcW w:w="594" w:type="dxa"/>
            <w:vMerge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vMerge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7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C33E79" w:rsidRPr="000B5EDC" w:rsidTr="00113BA9">
        <w:tc>
          <w:tcPr>
            <w:tcW w:w="594" w:type="dxa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4" w:type="dxa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ниже минимального балла</w:t>
            </w:r>
          </w:p>
        </w:tc>
        <w:tc>
          <w:tcPr>
            <w:tcW w:w="3036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3E79" w:rsidRPr="000B5EDC" w:rsidTr="00113BA9">
        <w:tc>
          <w:tcPr>
            <w:tcW w:w="594" w:type="dxa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4" w:type="dxa"/>
          </w:tcPr>
          <w:p w:rsidR="00C33E79" w:rsidRPr="000B5EDC" w:rsidRDefault="00C33E79" w:rsidP="00113BA9">
            <w:pPr>
              <w:pStyle w:val="Default"/>
            </w:pPr>
            <w:r w:rsidRPr="000B5EDC">
              <w:t xml:space="preserve">от минимального балла до 60 баллов, % </w:t>
            </w:r>
          </w:p>
        </w:tc>
        <w:tc>
          <w:tcPr>
            <w:tcW w:w="3036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35,30</w:t>
            </w:r>
          </w:p>
        </w:tc>
        <w:tc>
          <w:tcPr>
            <w:tcW w:w="1567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36,36</w:t>
            </w:r>
          </w:p>
        </w:tc>
      </w:tr>
      <w:tr w:rsidR="00C33E79" w:rsidRPr="000B5EDC" w:rsidTr="00113BA9">
        <w:tc>
          <w:tcPr>
            <w:tcW w:w="594" w:type="dxa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4" w:type="dxa"/>
          </w:tcPr>
          <w:p w:rsidR="00C33E79" w:rsidRPr="000B5EDC" w:rsidRDefault="00C33E79" w:rsidP="00113BA9">
            <w:pPr>
              <w:pStyle w:val="Default"/>
            </w:pPr>
            <w:r w:rsidRPr="000B5EDC">
              <w:t xml:space="preserve">от 61 до 80 баллов, % </w:t>
            </w:r>
          </w:p>
        </w:tc>
        <w:tc>
          <w:tcPr>
            <w:tcW w:w="3036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17,65</w:t>
            </w:r>
          </w:p>
        </w:tc>
        <w:tc>
          <w:tcPr>
            <w:tcW w:w="1567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63,64</w:t>
            </w:r>
          </w:p>
        </w:tc>
      </w:tr>
      <w:tr w:rsidR="00C33E79" w:rsidRPr="000B5EDC" w:rsidTr="00113BA9">
        <w:tc>
          <w:tcPr>
            <w:tcW w:w="594" w:type="dxa"/>
          </w:tcPr>
          <w:p w:rsidR="00C33E79" w:rsidRPr="000B5EDC" w:rsidRDefault="00C33E7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4" w:type="dxa"/>
          </w:tcPr>
          <w:p w:rsidR="00C33E79" w:rsidRPr="000B5EDC" w:rsidRDefault="00C33E79" w:rsidP="00113BA9">
            <w:pPr>
              <w:pStyle w:val="Default"/>
            </w:pPr>
            <w:r w:rsidRPr="000B5EDC">
              <w:t xml:space="preserve">от 81 до 100 баллов, % </w:t>
            </w:r>
          </w:p>
        </w:tc>
        <w:tc>
          <w:tcPr>
            <w:tcW w:w="3036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47,05</w:t>
            </w:r>
          </w:p>
        </w:tc>
        <w:tc>
          <w:tcPr>
            <w:tcW w:w="1567" w:type="dxa"/>
          </w:tcPr>
          <w:p w:rsidR="00C33E79" w:rsidRPr="000B5EDC" w:rsidRDefault="00C33E79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33E79" w:rsidRPr="000B5EDC" w:rsidRDefault="00C33E79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3E79" w:rsidRPr="000B5EDC" w:rsidRDefault="00C33E79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D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62350" cy="2011680"/>
            <wp:effectExtent l="19050" t="0" r="19050" b="762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33E79" w:rsidRPr="000B5EDC" w:rsidRDefault="000B5EDC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EDC">
        <w:rPr>
          <w:rFonts w:ascii="Times New Roman" w:hAnsi="Times New Roman" w:cs="Times New Roman"/>
          <w:sz w:val="24"/>
          <w:szCs w:val="24"/>
        </w:rPr>
        <w:t>В 2025 году средний тестовый балл на 10 баллов ниже, чем в 2024 году, но на 4 балла выше, чем в 2023 году. Более 60% в 2025 г. ОО округа показали результативность от 61 балла до 80 баллов, но, к сожалению, результативность от 81 балла до 100 баллов не показало ни одна образовательная организация. Тогда как, в 2024 году результативность в этом интервале составила 47,05%. Такая динамика говорит о низком показателе высокомотивированных участников, а также о недостаточной работе педагогов с высокомотивированными обучающимися.</w:t>
      </w:r>
    </w:p>
    <w:p w:rsidR="000B5EDC" w:rsidRPr="000B5EDC" w:rsidRDefault="000B5EDC" w:rsidP="000B5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EDC">
        <w:rPr>
          <w:rFonts w:ascii="Times New Roman" w:hAnsi="Times New Roman" w:cs="Times New Roman"/>
          <w:b/>
          <w:sz w:val="24"/>
          <w:szCs w:val="24"/>
        </w:rPr>
        <w:t>Статистический анализ результатов выполнения заданий КИМ</w:t>
      </w:r>
    </w:p>
    <w:tbl>
      <w:tblPr>
        <w:tblStyle w:val="a7"/>
        <w:tblW w:w="9783" w:type="dxa"/>
        <w:tblLayout w:type="fixed"/>
        <w:tblLook w:val="04A0"/>
      </w:tblPr>
      <w:tblGrid>
        <w:gridCol w:w="675"/>
        <w:gridCol w:w="6521"/>
        <w:gridCol w:w="850"/>
        <w:gridCol w:w="853"/>
        <w:gridCol w:w="884"/>
      </w:tblGrid>
      <w:tr w:rsidR="00552F31" w:rsidRPr="0027180C" w:rsidTr="00113BA9">
        <w:tc>
          <w:tcPr>
            <w:tcW w:w="675" w:type="dxa"/>
            <w:vMerge w:val="restart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Номер задания в КИМ</w:t>
            </w:r>
          </w:p>
        </w:tc>
        <w:tc>
          <w:tcPr>
            <w:tcW w:w="6521" w:type="dxa"/>
            <w:vMerge w:val="restart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содержания/умения</w:t>
            </w:r>
          </w:p>
        </w:tc>
        <w:tc>
          <w:tcPr>
            <w:tcW w:w="850" w:type="dxa"/>
            <w:vMerge w:val="restart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</w:p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вень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737" w:type="dxa"/>
            <w:gridSpan w:val="2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Средний процент выполнения</w:t>
            </w:r>
          </w:p>
        </w:tc>
      </w:tr>
      <w:tr w:rsidR="00552F31" w:rsidRPr="0027180C" w:rsidTr="00113BA9">
        <w:tc>
          <w:tcPr>
            <w:tcW w:w="675" w:type="dxa"/>
            <w:vMerge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52F31" w:rsidRPr="0027180C" w:rsidTr="00552F31">
        <w:trPr>
          <w:trHeight w:val="945"/>
        </w:trPr>
        <w:tc>
          <w:tcPr>
            <w:tcW w:w="675" w:type="dxa"/>
            <w:vMerge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84" w:type="dxa"/>
          </w:tcPr>
          <w:p w:rsidR="00552F31" w:rsidRPr="0027180C" w:rsidRDefault="00552F31" w:rsidP="0011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Распределение электронов по энергетическим уровням. Классификация химических элементов. Особенности строения энергетических уровней атомов (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-, d-элементов). Основное и возбуждённое состояния атомов. Электронная конфигурация атома. Валентные электроны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система химических элементов Д.И. </w:t>
            </w: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Закономерности в изменении свойств простых веществ, водородных соединений, высших оксидов и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гидроксидов</w:t>
            </w:r>
            <w:proofErr w:type="spellEnd"/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. Валентность. Степень окисления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Виды химической связи (ковалентная, ионная, 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кристаллических решёток. Зависимость свойств веществ от типа кристаллической решётки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веществ. Номенклатура неорганических веществ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важнейших металлов (натрий, калий, кальций, магний, алюминий, цинк, хром, железо, медь) и их соединений. Общие способы получения металлов. 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 Электролитическая диссоциация. Сильные и слабые электролиты. Среда водных растворов веществ: кислая, нейтральная, щелочная. Степень диссоциации. Реакции ионного обмена. Идентификация неорганических соединений. Качественные реакции на неорганические вещества и ионы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важнейших металлов (натрий, калий, кальций, магний, алюминий, цинк, хром, железо, медь) и их соединений. Общие способы получения металлов. 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важнейших металлов (натрий, калий, кальций, магний, алюминий, цинк, хром, железо, медь) и их соединений. Общие способы получения металлов. 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веществ, принадлежащих к различным классам</w:t>
            </w:r>
          </w:p>
        </w:tc>
        <w:tc>
          <w:tcPr>
            <w:tcW w:w="850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552F31" w:rsidRPr="0027180C" w:rsidRDefault="00113BA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</w:p>
        </w:tc>
        <w:tc>
          <w:tcPr>
            <w:tcW w:w="850" w:type="dxa"/>
          </w:tcPr>
          <w:p w:rsidR="00552F31" w:rsidRPr="0027180C" w:rsidRDefault="00113BA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552F31" w:rsidRPr="0027180C" w:rsidRDefault="00113BA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σ- и π-связи. sp3-, sp2-, sp-гибридизации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атомов углерода. Зависимость свойств веществ от химического строения молекул. Гомологи. Гомологический </w:t>
            </w: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ряд. Изомерия и изомеры. Понятие о функциональной группе. Ориентационные эффекты заместителей</w:t>
            </w:r>
          </w:p>
        </w:tc>
        <w:tc>
          <w:tcPr>
            <w:tcW w:w="850" w:type="dxa"/>
          </w:tcPr>
          <w:p w:rsidR="00552F31" w:rsidRPr="0027180C" w:rsidRDefault="00113BA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21" w:type="dxa"/>
          </w:tcPr>
          <w:p w:rsidR="00552F31" w:rsidRPr="0027180C" w:rsidRDefault="00113BA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углеводородов: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. Химические свойства кислородсодержащих соединений: спиртов, фенола, альдегидов, кетонов, карбоновых кислот, сложных эфиров, жиров, углеводов</w:t>
            </w:r>
          </w:p>
        </w:tc>
        <w:tc>
          <w:tcPr>
            <w:tcW w:w="850" w:type="dxa"/>
          </w:tcPr>
          <w:p w:rsidR="00552F31" w:rsidRPr="0027180C" w:rsidRDefault="00113BA9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жиров.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Мылá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как соли высших карбоновых кислот Химические свойства глюкозы. Дисахариды: сахароза, мальтоза. Восстанавливающие и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невосстанавливающие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дисахариды. Гидролиз дисахаридов. Полисахариды: крахмал, гликоген. Химические свойства крахмала и целлюлозы. Характерные химические свойства аминов. Аминокислоты и белки. Аминокислоты как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органические соединения. Основные аминокислоты, образующие белки. Важнейшие способы получения аминов и аминокислот. Химические свойства белков: гидролиз, денатурация, качественные (цветные) реакции на белки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углеводородов: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. Реакции замещения галогена на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гидроксогруппу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. Действие на галогенпроизводные водного и спиртового раствора щёлочи. Взаимодействие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дигалогеналканов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с магнием и цинком. Использование галогенпроизводных углеводородов при синтезе органических веществ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Свободнорадикальный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и ионный механизмы реакции. Понятие о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нуклеофиле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электрофиле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. Правило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. Правило Зайцева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Характерные химические свойства предельных одноатомных и многоатомных спиртов, фенола, альдегидов, карбоновых кислот, сложных эфиров. Важнейшие способы получения кислородсодержащих органических соединений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Химическая реакция. Классификация химических реакций в неорганической и органической химии. Закон сохранения массы веществ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Скорость реакции, её зависимость от различных факторов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Окислительно-восстановительные реакции. Поведение веществ в средах с разным значением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. Методы электронного баланса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511724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Электролиз расплавов и растворов солей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Гидролиз солей. Ионное произведение воды. Водородный показатель (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) раствора</w:t>
            </w:r>
          </w:p>
        </w:tc>
        <w:tc>
          <w:tcPr>
            <w:tcW w:w="850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552F31" w:rsidRPr="0027180C" w:rsidRDefault="00F240A0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850" w:type="dxa"/>
          </w:tcPr>
          <w:p w:rsidR="00552F31" w:rsidRPr="0027180C" w:rsidRDefault="00F240A0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552F31" w:rsidRPr="0027180C" w:rsidRDefault="00F240A0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химические реакции. Химическое равновесие. Расчёты количества вещества, массы вещества или объёма газов по известному количеству вещества, массе или объёму одного из участвующих в реакции веществ</w:t>
            </w:r>
          </w:p>
        </w:tc>
        <w:tc>
          <w:tcPr>
            <w:tcW w:w="850" w:type="dxa"/>
          </w:tcPr>
          <w:p w:rsidR="00552F31" w:rsidRPr="0027180C" w:rsidRDefault="00F240A0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F31" w:rsidRPr="0027180C" w:rsidTr="00113BA9">
        <w:tc>
          <w:tcPr>
            <w:tcW w:w="675" w:type="dxa"/>
          </w:tcPr>
          <w:p w:rsidR="00552F31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521" w:type="dxa"/>
          </w:tcPr>
          <w:p w:rsidR="00552F31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соединений. Качественные реакции на неорганические вещества и ионы. Идентификация органических соединений. Решение экспериментальных задач на распознавание веществ</w:t>
            </w:r>
          </w:p>
        </w:tc>
        <w:tc>
          <w:tcPr>
            <w:tcW w:w="850" w:type="dxa"/>
          </w:tcPr>
          <w:p w:rsidR="00552F31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52F31" w:rsidRPr="0027180C" w:rsidRDefault="00552F31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57" w:rsidRPr="0027180C" w:rsidTr="00113BA9">
        <w:tc>
          <w:tcPr>
            <w:tcW w:w="675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Химия в повседневной жизни. Правила безопасной работы с едкими, горючими и токсичными веществами, средствами бытовой химии. Химия и здоровье. Химия в медицине. Химия и сельское хозяйство. Химия в промышленности. Химия и энергетика: природный и попутный нефтяной газы, их состав и использование. Состав нефти и её переработка. 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 Проблема отходов и побочных продуктов. Альтернативные источники энергии. Общие представления о промышленных способах получения химических веществ (на примере производства аммиака, серной кислоты). Чёрная и цветная металлургия. Стекло и силикатная промышленность. Промышленная органическая химия. Сырьё для органической промышленности. Строение и структура полимеров. Зависимость свойств полимеров от строения молекул. Основные способы получения высокомолекулярных соединений: реакции полимеризации и поликонденсации. Классификация волокон</w:t>
            </w:r>
          </w:p>
        </w:tc>
        <w:tc>
          <w:tcPr>
            <w:tcW w:w="850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57" w:rsidRPr="0027180C" w:rsidTr="00113BA9">
        <w:tc>
          <w:tcPr>
            <w:tcW w:w="675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Расчеты массовой доли и молярной концентрации вещества в растворе</w:t>
            </w:r>
          </w:p>
        </w:tc>
        <w:tc>
          <w:tcPr>
            <w:tcW w:w="850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57" w:rsidRPr="0027180C" w:rsidTr="00113BA9">
        <w:tc>
          <w:tcPr>
            <w:tcW w:w="675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Расчёты теплового эффекта (по термохимическим уравнениям). Расчёты объёмных отношений газов при химических реакциях</w:t>
            </w:r>
          </w:p>
        </w:tc>
        <w:tc>
          <w:tcPr>
            <w:tcW w:w="850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57" w:rsidRPr="0027180C" w:rsidTr="00113BA9">
        <w:tc>
          <w:tcPr>
            <w:tcW w:w="675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Расчёты массы (объёма, количества вещества) продуктов реакции, если одно из веществ дано в избытке (имеет примеси); расчёты массовой или объёмной доли выхода продукта реакции от теоретически возможного</w:t>
            </w:r>
          </w:p>
        </w:tc>
        <w:tc>
          <w:tcPr>
            <w:tcW w:w="850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57" w:rsidRPr="0027180C" w:rsidTr="00113BA9">
        <w:tc>
          <w:tcPr>
            <w:tcW w:w="675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11557" w:rsidRPr="0027180C" w:rsidRDefault="00111557" w:rsidP="0011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850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57" w:rsidRPr="0027180C" w:rsidTr="00113BA9">
        <w:tc>
          <w:tcPr>
            <w:tcW w:w="675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Окислительно-восстановительные реакции. Поведение веществ в средах с разным значением </w:t>
            </w:r>
            <w:proofErr w:type="spellStart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. Методы электронного баланса</w:t>
            </w:r>
          </w:p>
        </w:tc>
        <w:tc>
          <w:tcPr>
            <w:tcW w:w="850" w:type="dxa"/>
          </w:tcPr>
          <w:p w:rsidR="00111557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111557" w:rsidRPr="0027180C" w:rsidRDefault="00111557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04F" w:rsidRPr="0027180C" w:rsidTr="00113BA9">
        <w:tc>
          <w:tcPr>
            <w:tcW w:w="675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Сильные и слабые электролиты. Среда водных растворов веществ: кислая, нейтральная, щелочная. Степень диссоциации. Реакции ионного обмена</w:t>
            </w:r>
          </w:p>
        </w:tc>
        <w:tc>
          <w:tcPr>
            <w:tcW w:w="850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04F" w:rsidRPr="0027180C" w:rsidTr="00113BA9">
        <w:tc>
          <w:tcPr>
            <w:tcW w:w="675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веществ, принадлежащих к различным классам</w:t>
            </w:r>
          </w:p>
        </w:tc>
        <w:tc>
          <w:tcPr>
            <w:tcW w:w="850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04F" w:rsidRPr="0027180C" w:rsidTr="00113BA9">
        <w:tc>
          <w:tcPr>
            <w:tcW w:w="675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850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04F" w:rsidRPr="0027180C" w:rsidTr="00113BA9">
        <w:tc>
          <w:tcPr>
            <w:tcW w:w="675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Нахождение молекулярной формулы органического вещества по его плотности и массовым долям элементов, входящих в его состав, или по продуктам сгорания; установление структурной формулы органического вещества на основе его химических свойств или способов получения</w:t>
            </w:r>
          </w:p>
        </w:tc>
        <w:tc>
          <w:tcPr>
            <w:tcW w:w="850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04F" w:rsidRPr="0027180C" w:rsidTr="00113BA9">
        <w:tc>
          <w:tcPr>
            <w:tcW w:w="675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t xml:space="preserve">Расчёты массы (объёма, количества вещества) продуктов реакции, если одно из веществ дано в избытке (имеет </w:t>
            </w: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примеси). 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вещества. Расчёты с использованием понятий «массовая доля», «молярная концентрация», «растворимость»</w:t>
            </w:r>
          </w:p>
        </w:tc>
        <w:tc>
          <w:tcPr>
            <w:tcW w:w="850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8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853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0B704F" w:rsidRPr="0027180C" w:rsidRDefault="000B704F" w:rsidP="00113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3E79" w:rsidRPr="000B5EDC" w:rsidRDefault="00C33E79" w:rsidP="00C33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5C5" w:rsidRDefault="00370DEC" w:rsidP="00B42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Сравнение результатов ЕГЭ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370D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части КИМ по блокам за 2024 и 2025 год</w:t>
      </w:r>
    </w:p>
    <w:p w:rsidR="00370DEC" w:rsidRPr="00F56830" w:rsidRDefault="00370DEC" w:rsidP="00370D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830">
        <w:rPr>
          <w:rFonts w:ascii="Times New Roman" w:hAnsi="Times New Roman" w:cs="Times New Roman"/>
          <w:b/>
          <w:sz w:val="24"/>
          <w:szCs w:val="24"/>
        </w:rPr>
        <w:t>Блок "Теоретические основы химии. Химическая реакция".</w:t>
      </w:r>
    </w:p>
    <w:p w:rsidR="00370DEC" w:rsidRDefault="00370DEC" w:rsidP="00B42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0DEC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79390" cy="2824480"/>
            <wp:effectExtent l="19050" t="0" r="1651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56830" w:rsidRDefault="00F56830" w:rsidP="00F56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видно из диаграммы, в данном блоке более-менее все ст</w:t>
      </w:r>
      <w:r w:rsidRPr="00F56830">
        <w:rPr>
          <w:rFonts w:ascii="Times New Roman" w:eastAsia="Times New Roman" w:hAnsi="Times New Roman" w:cs="Times New Roman"/>
          <w:sz w:val="24"/>
          <w:szCs w:val="24"/>
        </w:rPr>
        <w:t xml:space="preserve">абильно. </w:t>
      </w:r>
      <w:r w:rsidRPr="00F56830">
        <w:rPr>
          <w:rFonts w:ascii="Times New Roman" w:hAnsi="Times New Roman" w:cs="Times New Roman"/>
          <w:sz w:val="24"/>
          <w:szCs w:val="24"/>
        </w:rPr>
        <w:t>Результаты выполнения этих заданий позволяют говорить о том, что, в целом, в 2024 и 2025 году все элементы содержания данного блока удовлетворительно освоены экзаменуемыми – задания базового уровня и повышенного выполнены не ниже 50%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6830" w:rsidRPr="00F56830" w:rsidRDefault="00F56830" w:rsidP="00F568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830">
        <w:rPr>
          <w:rFonts w:ascii="Times New Roman" w:hAnsi="Times New Roman" w:cs="Times New Roman"/>
          <w:b/>
          <w:sz w:val="24"/>
          <w:szCs w:val="24"/>
        </w:rPr>
        <w:t>Блок "</w:t>
      </w:r>
      <w:r>
        <w:rPr>
          <w:rFonts w:ascii="Times New Roman" w:hAnsi="Times New Roman" w:cs="Times New Roman"/>
          <w:b/>
          <w:sz w:val="24"/>
          <w:szCs w:val="24"/>
        </w:rPr>
        <w:t>Основы неорганической химии</w:t>
      </w:r>
      <w:r w:rsidRPr="00F56830">
        <w:rPr>
          <w:rFonts w:ascii="Times New Roman" w:hAnsi="Times New Roman" w:cs="Times New Roman"/>
          <w:b/>
          <w:sz w:val="24"/>
          <w:szCs w:val="24"/>
        </w:rPr>
        <w:t>".</w:t>
      </w:r>
    </w:p>
    <w:p w:rsidR="00F56830" w:rsidRDefault="00F56830" w:rsidP="00F56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683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79390" cy="2824480"/>
            <wp:effectExtent l="19050" t="0" r="16510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56830" w:rsidRDefault="004232B3" w:rsidP="00F56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Видим, что средний процент выполнения заданий этого блока падает в 2025 году.</w:t>
      </w:r>
    </w:p>
    <w:p w:rsidR="004232B3" w:rsidRDefault="004232B3" w:rsidP="004232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830">
        <w:rPr>
          <w:rFonts w:ascii="Times New Roman" w:hAnsi="Times New Roman" w:cs="Times New Roman"/>
          <w:b/>
          <w:sz w:val="24"/>
          <w:szCs w:val="24"/>
        </w:rPr>
        <w:t>Блок "</w:t>
      </w:r>
      <w:r>
        <w:rPr>
          <w:rFonts w:ascii="Times New Roman" w:hAnsi="Times New Roman" w:cs="Times New Roman"/>
          <w:b/>
          <w:sz w:val="24"/>
          <w:szCs w:val="24"/>
        </w:rPr>
        <w:t>Основы органической химии</w:t>
      </w:r>
      <w:r w:rsidRPr="00F56830">
        <w:rPr>
          <w:rFonts w:ascii="Times New Roman" w:hAnsi="Times New Roman" w:cs="Times New Roman"/>
          <w:b/>
          <w:sz w:val="24"/>
          <w:szCs w:val="24"/>
        </w:rPr>
        <w:t>".</w:t>
      </w:r>
    </w:p>
    <w:p w:rsidR="004232B3" w:rsidRPr="00F56830" w:rsidRDefault="004232B3" w:rsidP="004232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2B3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279390" cy="2824480"/>
            <wp:effectExtent l="19050" t="0" r="1651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232B3" w:rsidRPr="004232B3" w:rsidRDefault="004232B3" w:rsidP="00F56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2B3">
        <w:rPr>
          <w:rFonts w:ascii="Times New Roman" w:hAnsi="Times New Roman" w:cs="Times New Roman"/>
          <w:sz w:val="24"/>
          <w:szCs w:val="24"/>
        </w:rPr>
        <w:t>Результаты выполнения этих заданий позволяют говорить о том, что, в целом, в 2024-2025 году элементы содержания данного блока удовлетворительно освоены экзаменуемыми – задания базового уровня выполнены не ниже 50%, задания повышенного уровня - не ниже 45%. Обратите внимание на задание №14: как резко возрос средний процент выполнения в 2025 г.</w:t>
      </w:r>
    </w:p>
    <w:p w:rsidR="004232B3" w:rsidRDefault="004232B3" w:rsidP="004232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830">
        <w:rPr>
          <w:rFonts w:ascii="Times New Roman" w:hAnsi="Times New Roman" w:cs="Times New Roman"/>
          <w:b/>
          <w:sz w:val="24"/>
          <w:szCs w:val="24"/>
        </w:rPr>
        <w:t>Блок "</w:t>
      </w:r>
      <w:r>
        <w:rPr>
          <w:rFonts w:ascii="Times New Roman" w:hAnsi="Times New Roman" w:cs="Times New Roman"/>
          <w:b/>
          <w:sz w:val="24"/>
          <w:szCs w:val="24"/>
        </w:rPr>
        <w:t>Химия и жизнь</w:t>
      </w:r>
      <w:r w:rsidRPr="00F56830">
        <w:rPr>
          <w:rFonts w:ascii="Times New Roman" w:hAnsi="Times New Roman" w:cs="Times New Roman"/>
          <w:b/>
          <w:sz w:val="24"/>
          <w:szCs w:val="24"/>
        </w:rPr>
        <w:t>".</w:t>
      </w:r>
    </w:p>
    <w:p w:rsidR="004232B3" w:rsidRDefault="004232B3" w:rsidP="00F56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32B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79390" cy="2824480"/>
            <wp:effectExtent l="19050" t="0" r="16510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232B3" w:rsidRDefault="004232B3" w:rsidP="00F5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процент выполнения задания №25 - 100% в 2025 г (выше, чем в 2024 году, на 26%), но задание повышенного уровня сложности №24 в 2025 г. имеет более низкий процент выполнения на 21%.</w:t>
      </w:r>
    </w:p>
    <w:p w:rsidR="004232B3" w:rsidRDefault="004232B3" w:rsidP="004232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830">
        <w:rPr>
          <w:rFonts w:ascii="Times New Roman" w:hAnsi="Times New Roman" w:cs="Times New Roman"/>
          <w:b/>
          <w:sz w:val="24"/>
          <w:szCs w:val="24"/>
        </w:rPr>
        <w:t>Блок "</w:t>
      </w:r>
      <w:r>
        <w:rPr>
          <w:rFonts w:ascii="Times New Roman" w:hAnsi="Times New Roman" w:cs="Times New Roman"/>
          <w:b/>
          <w:sz w:val="24"/>
          <w:szCs w:val="24"/>
        </w:rPr>
        <w:t>Типы расчетных задач</w:t>
      </w:r>
      <w:r w:rsidRPr="00F56830">
        <w:rPr>
          <w:rFonts w:ascii="Times New Roman" w:hAnsi="Times New Roman" w:cs="Times New Roman"/>
          <w:b/>
          <w:sz w:val="24"/>
          <w:szCs w:val="24"/>
        </w:rPr>
        <w:t>".</w:t>
      </w:r>
    </w:p>
    <w:p w:rsidR="004232B3" w:rsidRDefault="004232B3" w:rsidP="004232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2B3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279390" cy="2824480"/>
            <wp:effectExtent l="19050" t="0" r="16510" b="0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62BBC" w:rsidRPr="00462BBC" w:rsidRDefault="00462BBC" w:rsidP="00462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BBC">
        <w:rPr>
          <w:rFonts w:ascii="Times New Roman" w:hAnsi="Times New Roman" w:cs="Times New Roman"/>
          <w:iCs/>
          <w:sz w:val="24"/>
          <w:szCs w:val="24"/>
        </w:rPr>
        <w:t xml:space="preserve">Наиболее успешно </w:t>
      </w:r>
      <w:r w:rsidRPr="00462BBC">
        <w:rPr>
          <w:rFonts w:ascii="Times New Roman" w:hAnsi="Times New Roman" w:cs="Times New Roman"/>
          <w:sz w:val="24"/>
          <w:szCs w:val="24"/>
        </w:rPr>
        <w:t>второй год подряд экзаменуемые справились с заданием №23 повышенного уровня сложности (2025 г - 95,5%, 2024 г. - 100%), проверяющим усвоение следующего содержания: «Обратимые и необратимые химические реакции. Химическое равновесие. Расчёты количества вещества, массы вещества или объёма газов по известному количеству вещества, массе или объёму одного из участвующих в реакции веществ».</w:t>
      </w:r>
    </w:p>
    <w:p w:rsidR="00462BBC" w:rsidRPr="00CC092D" w:rsidRDefault="00462BBC" w:rsidP="00462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2BBC" w:rsidRDefault="00462BBC" w:rsidP="00462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Сравнение результатов ЕГЭ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370D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части КИМ по блокам за 2024 и 2025 год</w:t>
      </w:r>
    </w:p>
    <w:p w:rsidR="00462BBC" w:rsidRPr="00462BBC" w:rsidRDefault="00744FBD" w:rsidP="00462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FB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79390" cy="2824480"/>
            <wp:effectExtent l="19050" t="0" r="16510" b="0"/>
            <wp:docPr id="1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232B3" w:rsidRDefault="00744FBD" w:rsidP="00F56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Именно на выполнении заданий высокого уровня сложности можно говорить о разнице в ур</w:t>
      </w:r>
      <w:r w:rsidRPr="00744FBD">
        <w:rPr>
          <w:rFonts w:ascii="Times New Roman" w:eastAsia="Times New Roman" w:hAnsi="Times New Roman" w:cs="Times New Roman"/>
          <w:sz w:val="24"/>
          <w:szCs w:val="24"/>
        </w:rPr>
        <w:t>овне логического мышления учащихся 2024 года выпуска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FBD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2025 годом. </w:t>
      </w:r>
      <w:r w:rsidRPr="00744FBD">
        <w:rPr>
          <w:rFonts w:ascii="Times New Roman" w:hAnsi="Times New Roman" w:cs="Times New Roman"/>
          <w:sz w:val="24"/>
          <w:szCs w:val="24"/>
        </w:rPr>
        <w:t>Для успешного выполнения данных заданий необходимо не только прочное владение материалом, но и умение глубоко анализировать условие задачи, выполнять математические операции, в том числе, с несколькими неизвестными через составление системы уравнений. Уход от шаблонного решения задачи непроизвольно привёл к смещению акцентов в сторону олимпиадных задач. Этим и объясняется низкий процент выполнения этих заданий.</w:t>
      </w:r>
    </w:p>
    <w:p w:rsidR="00CB575A" w:rsidRDefault="00CB575A" w:rsidP="00F56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356" w:rsidRPr="00227356" w:rsidRDefault="00227356" w:rsidP="00F56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7356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если рассматривать элементы содержания, которые </w:t>
      </w:r>
      <w:r w:rsidRPr="00227356">
        <w:rPr>
          <w:rFonts w:ascii="Times New Roman" w:eastAsia="Times New Roman" w:hAnsi="Times New Roman" w:cs="Times New Roman"/>
          <w:b/>
          <w:sz w:val="24"/>
          <w:szCs w:val="24"/>
        </w:rPr>
        <w:t>нельзя</w:t>
      </w:r>
      <w:r w:rsidRPr="00227356">
        <w:rPr>
          <w:rFonts w:ascii="Times New Roman" w:eastAsia="Times New Roman" w:hAnsi="Times New Roman" w:cs="Times New Roman"/>
          <w:sz w:val="24"/>
          <w:szCs w:val="24"/>
        </w:rPr>
        <w:t xml:space="preserve"> считать достаточными (</w:t>
      </w:r>
      <w:r w:rsidRPr="00227356">
        <w:rPr>
          <w:rFonts w:ascii="Times New Roman" w:hAnsi="Times New Roman" w:cs="Times New Roman"/>
          <w:sz w:val="24"/>
          <w:szCs w:val="24"/>
        </w:rPr>
        <w:t>ср. % выполнения &lt;50% для заданий базового уровня и &lt;15% для заданий повышенного и высокого уровней)</w:t>
      </w:r>
    </w:p>
    <w:p w:rsidR="00227356" w:rsidRPr="00227356" w:rsidRDefault="00227356" w:rsidP="0022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356">
        <w:rPr>
          <w:rFonts w:ascii="Times New Roman" w:hAnsi="Times New Roman" w:cs="Times New Roman"/>
          <w:sz w:val="24"/>
          <w:szCs w:val="24"/>
        </w:rPr>
        <w:lastRenderedPageBreak/>
        <w:t xml:space="preserve">- Химические свойства жиров. </w:t>
      </w:r>
      <w:proofErr w:type="spellStart"/>
      <w:r w:rsidRPr="00227356">
        <w:rPr>
          <w:rFonts w:ascii="Times New Roman" w:hAnsi="Times New Roman" w:cs="Times New Roman"/>
          <w:sz w:val="24"/>
          <w:szCs w:val="24"/>
        </w:rPr>
        <w:t>Мылá</w:t>
      </w:r>
      <w:proofErr w:type="spellEnd"/>
      <w:r w:rsidRPr="00227356">
        <w:rPr>
          <w:rFonts w:ascii="Times New Roman" w:hAnsi="Times New Roman" w:cs="Times New Roman"/>
          <w:sz w:val="24"/>
          <w:szCs w:val="24"/>
        </w:rPr>
        <w:t xml:space="preserve"> как соли высших карбоновых кислот Химические свойства глюкозы. Дисахариды: сахароза, мальтоза. Восстанавливающие и </w:t>
      </w:r>
      <w:proofErr w:type="spellStart"/>
      <w:r w:rsidRPr="00227356">
        <w:rPr>
          <w:rFonts w:ascii="Times New Roman" w:hAnsi="Times New Roman" w:cs="Times New Roman"/>
          <w:sz w:val="24"/>
          <w:szCs w:val="24"/>
        </w:rPr>
        <w:t>невосстанавливающие</w:t>
      </w:r>
      <w:proofErr w:type="spellEnd"/>
      <w:r w:rsidRPr="00227356">
        <w:rPr>
          <w:rFonts w:ascii="Times New Roman" w:hAnsi="Times New Roman" w:cs="Times New Roman"/>
          <w:sz w:val="24"/>
          <w:szCs w:val="24"/>
        </w:rPr>
        <w:t xml:space="preserve"> дисахариды. Гидролиз дисахаридов. Полисахариды: крахмал, гликоген. Химические свойства крахмала и целлюлозы. Характерные химические свойства аминов. Аминокислоты и белки. Аминокислоты как </w:t>
      </w:r>
      <w:proofErr w:type="spellStart"/>
      <w:r w:rsidRPr="00227356">
        <w:rPr>
          <w:rFonts w:ascii="Times New Roman" w:hAnsi="Times New Roman" w:cs="Times New Roman"/>
          <w:sz w:val="24"/>
          <w:szCs w:val="24"/>
        </w:rPr>
        <w:t>амфотерные</w:t>
      </w:r>
      <w:proofErr w:type="spellEnd"/>
      <w:r w:rsidRPr="00227356">
        <w:rPr>
          <w:rFonts w:ascii="Times New Roman" w:hAnsi="Times New Roman" w:cs="Times New Roman"/>
          <w:sz w:val="24"/>
          <w:szCs w:val="24"/>
        </w:rPr>
        <w:t xml:space="preserve"> органические соединения. Основные аминокислоты, образующие белки. Важнейшие способы получения аминов и аминокислот. (</w:t>
      </w:r>
      <w:r w:rsidRPr="00227356">
        <w:rPr>
          <w:rFonts w:ascii="Times New Roman" w:hAnsi="Times New Roman" w:cs="Times New Roman"/>
          <w:b/>
          <w:sz w:val="24"/>
          <w:szCs w:val="24"/>
        </w:rPr>
        <w:t>задание 13</w:t>
      </w:r>
      <w:r w:rsidRPr="00227356">
        <w:rPr>
          <w:rFonts w:ascii="Times New Roman" w:hAnsi="Times New Roman" w:cs="Times New Roman"/>
          <w:sz w:val="24"/>
          <w:szCs w:val="24"/>
        </w:rPr>
        <w:t>);</w:t>
      </w:r>
    </w:p>
    <w:p w:rsidR="00227356" w:rsidRPr="00227356" w:rsidRDefault="00227356" w:rsidP="00227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356">
        <w:rPr>
          <w:rFonts w:ascii="Times New Roman" w:hAnsi="Times New Roman" w:cs="Times New Roman"/>
          <w:sz w:val="24"/>
          <w:szCs w:val="24"/>
        </w:rPr>
        <w:t>- Расчёты массы (объёма, количества вещества) продуктов реакции, если одно из веществ дано в избытке (имеет примеси). 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вещества. Расчёты с использованием понятий «массовая доля», «молярная концентрация», «растворимость» (</w:t>
      </w:r>
      <w:r w:rsidRPr="00227356">
        <w:rPr>
          <w:rFonts w:ascii="Times New Roman" w:hAnsi="Times New Roman" w:cs="Times New Roman"/>
          <w:b/>
          <w:sz w:val="24"/>
          <w:szCs w:val="24"/>
        </w:rPr>
        <w:t>задание 34</w:t>
      </w:r>
      <w:r w:rsidRPr="00227356">
        <w:rPr>
          <w:rFonts w:ascii="Times New Roman" w:hAnsi="Times New Roman" w:cs="Times New Roman"/>
          <w:sz w:val="24"/>
          <w:szCs w:val="24"/>
        </w:rPr>
        <w:t>).</w:t>
      </w:r>
    </w:p>
    <w:p w:rsidR="00227356" w:rsidRPr="00227356" w:rsidRDefault="00227356" w:rsidP="00F56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27356" w:rsidRPr="00227356" w:rsidSect="00D24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4AC"/>
    <w:multiLevelType w:val="multilevel"/>
    <w:tmpl w:val="45AC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8C6E5E"/>
    <w:multiLevelType w:val="multilevel"/>
    <w:tmpl w:val="C026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230FB8"/>
    <w:multiLevelType w:val="multilevel"/>
    <w:tmpl w:val="76204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/>
  <w:defaultTabStop w:val="708"/>
  <w:characterSpacingControl w:val="doNotCompress"/>
  <w:compat>
    <w:useFELayout/>
  </w:compat>
  <w:rsids>
    <w:rsidRoot w:val="00D11B50"/>
    <w:rsid w:val="000372E5"/>
    <w:rsid w:val="000B5EDC"/>
    <w:rsid w:val="000B704F"/>
    <w:rsid w:val="000E40D1"/>
    <w:rsid w:val="000F5E5E"/>
    <w:rsid w:val="00111557"/>
    <w:rsid w:val="00113BA9"/>
    <w:rsid w:val="0017042B"/>
    <w:rsid w:val="002008F5"/>
    <w:rsid w:val="00227356"/>
    <w:rsid w:val="002716BD"/>
    <w:rsid w:val="0027180C"/>
    <w:rsid w:val="002E7B5A"/>
    <w:rsid w:val="00370DEC"/>
    <w:rsid w:val="003D26CF"/>
    <w:rsid w:val="004232B3"/>
    <w:rsid w:val="00462BBC"/>
    <w:rsid w:val="004861B2"/>
    <w:rsid w:val="00510E03"/>
    <w:rsid w:val="00511724"/>
    <w:rsid w:val="00552F31"/>
    <w:rsid w:val="00651129"/>
    <w:rsid w:val="00687F5C"/>
    <w:rsid w:val="007321CB"/>
    <w:rsid w:val="00744FBD"/>
    <w:rsid w:val="007D3822"/>
    <w:rsid w:val="009223C7"/>
    <w:rsid w:val="00934362"/>
    <w:rsid w:val="00972934"/>
    <w:rsid w:val="00A8138F"/>
    <w:rsid w:val="00AB461D"/>
    <w:rsid w:val="00AD72D8"/>
    <w:rsid w:val="00B05962"/>
    <w:rsid w:val="00B425C5"/>
    <w:rsid w:val="00C33E79"/>
    <w:rsid w:val="00CA4CBC"/>
    <w:rsid w:val="00CB575A"/>
    <w:rsid w:val="00CC092D"/>
    <w:rsid w:val="00CD7E14"/>
    <w:rsid w:val="00D11B50"/>
    <w:rsid w:val="00D248DC"/>
    <w:rsid w:val="00D4725A"/>
    <w:rsid w:val="00DD6E5E"/>
    <w:rsid w:val="00ED5F09"/>
    <w:rsid w:val="00F240A0"/>
    <w:rsid w:val="00F56830"/>
    <w:rsid w:val="00FD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DC"/>
  </w:style>
  <w:style w:type="paragraph" w:styleId="1">
    <w:name w:val="heading 1"/>
    <w:basedOn w:val="a"/>
    <w:next w:val="a"/>
    <w:link w:val="10"/>
    <w:uiPriority w:val="9"/>
    <w:qFormat/>
    <w:rsid w:val="00FD60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CD7E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1B50"/>
    <w:rPr>
      <w:b/>
      <w:bCs/>
    </w:rPr>
  </w:style>
  <w:style w:type="paragraph" w:customStyle="1" w:styleId="Default">
    <w:name w:val="Default"/>
    <w:rsid w:val="000F5E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B4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1D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7321C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7">
    <w:name w:val="Table Grid"/>
    <w:basedOn w:val="a1"/>
    <w:uiPriority w:val="59"/>
    <w:rsid w:val="007321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87F5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CD7E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Normal (Web)"/>
    <w:basedOn w:val="a"/>
    <w:uiPriority w:val="99"/>
    <w:unhideWhenUsed/>
    <w:rsid w:val="00FD6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60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semiHidden/>
    <w:unhideWhenUsed/>
    <w:rsid w:val="00FD6077"/>
    <w:rPr>
      <w:color w:val="0000FF"/>
      <w:u w:val="single"/>
    </w:rPr>
  </w:style>
  <w:style w:type="character" w:customStyle="1" w:styleId="dzen-layout--navigation-tabtext-2g">
    <w:name w:val="dzen-layout--navigation-tab__text-2g"/>
    <w:basedOn w:val="a0"/>
    <w:rsid w:val="00FD6077"/>
  </w:style>
  <w:style w:type="character" w:customStyle="1" w:styleId="dzen-layout--ad-campaign-linktitle-1y">
    <w:name w:val="dzen-layout--ad-campaign-link__title-1y"/>
    <w:basedOn w:val="a0"/>
    <w:rsid w:val="00FD6077"/>
  </w:style>
  <w:style w:type="character" w:customStyle="1" w:styleId="dzen-layout--ad-campaign-linklink-22">
    <w:name w:val="dzen-layout--ad-campaign-link__link-22"/>
    <w:basedOn w:val="a0"/>
    <w:rsid w:val="00FD6077"/>
  </w:style>
  <w:style w:type="character" w:customStyle="1" w:styleId="content--publisher-block-inlinechannelname-wv">
    <w:name w:val="content--publisher-block-inline__channelname-wv"/>
    <w:basedOn w:val="a0"/>
    <w:rsid w:val="00FD6077"/>
  </w:style>
  <w:style w:type="character" w:customStyle="1" w:styleId="content--article-info-blocklongformat-xq">
    <w:name w:val="content--article-info-block__longformat-xq"/>
    <w:basedOn w:val="a0"/>
    <w:rsid w:val="00FD6077"/>
  </w:style>
  <w:style w:type="paragraph" w:customStyle="1" w:styleId="content--common-blockblock-3u">
    <w:name w:val="content--common-block__block-3u"/>
    <w:basedOn w:val="a"/>
    <w:rsid w:val="00FD6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1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0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0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9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0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62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23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3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82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72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0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160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632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27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5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3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0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13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8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73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52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8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1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2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6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28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участников ОГЭ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  <c:pt idx="4">
                  <c:v>2026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35</c:v>
                </c:pt>
                <c:pt idx="1">
                  <c:v>38</c:v>
                </c:pt>
                <c:pt idx="2">
                  <c:v>33</c:v>
                </c:pt>
                <c:pt idx="3">
                  <c:v>19</c:v>
                </c:pt>
                <c:pt idx="4">
                  <c:v>14</c:v>
                </c:pt>
              </c:numCache>
            </c:numRef>
          </c:val>
        </c:ser>
        <c:marker val="1"/>
        <c:axId val="28922240"/>
        <c:axId val="28923776"/>
      </c:lineChart>
      <c:catAx>
        <c:axId val="28922240"/>
        <c:scaling>
          <c:orientation val="minMax"/>
        </c:scaling>
        <c:axPos val="b"/>
        <c:numFmt formatCode="General" sourceLinked="1"/>
        <c:tickLblPos val="nextTo"/>
        <c:crossAx val="28923776"/>
        <c:crosses val="autoZero"/>
        <c:auto val="1"/>
        <c:lblAlgn val="ctr"/>
        <c:lblOffset val="100"/>
      </c:catAx>
      <c:valAx>
        <c:axId val="28923776"/>
        <c:scaling>
          <c:orientation val="minMax"/>
        </c:scaling>
        <c:axPos val="l"/>
        <c:majorGridlines/>
        <c:numFmt formatCode="General" sourceLinked="1"/>
        <c:tickLblPos val="nextTo"/>
        <c:crossAx val="289222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Средний процент выполнения заданий блока</a:t>
            </a:r>
            <a:r>
              <a:rPr lang="ru-RU" sz="1200" baseline="0"/>
              <a:t> "Основы органической химии"</a:t>
            </a:r>
            <a:endParaRPr lang="ru-RU" sz="1200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marker>
            <c:symbol val="none"/>
          </c:marker>
          <c:cat>
            <c:numRef>
              <c:f>Лист1!$A$2:$A$8</c:f>
              <c:numCache>
                <c:formatCode>General</c:formatCode>
                <c:ptCount val="7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  <c:pt idx="6">
                  <c:v>16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65</c:v>
                </c:pt>
                <c:pt idx="1">
                  <c:v>82</c:v>
                </c:pt>
                <c:pt idx="2">
                  <c:v>59</c:v>
                </c:pt>
                <c:pt idx="3">
                  <c:v>59</c:v>
                </c:pt>
                <c:pt idx="4">
                  <c:v>65</c:v>
                </c:pt>
                <c:pt idx="5">
                  <c:v>65</c:v>
                </c:pt>
                <c:pt idx="6">
                  <c:v>71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none"/>
          </c:marker>
          <c:cat>
            <c:numRef>
              <c:f>Лист1!$A$2:$A$8</c:f>
              <c:numCache>
                <c:formatCode>General</c:formatCode>
                <c:ptCount val="7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  <c:pt idx="6">
                  <c:v>16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55</c:v>
                </c:pt>
                <c:pt idx="1">
                  <c:v>73</c:v>
                </c:pt>
                <c:pt idx="2">
                  <c:v>45</c:v>
                </c:pt>
                <c:pt idx="3">
                  <c:v>45</c:v>
                </c:pt>
                <c:pt idx="4">
                  <c:v>82</c:v>
                </c:pt>
                <c:pt idx="5">
                  <c:v>77</c:v>
                </c:pt>
                <c:pt idx="6">
                  <c:v>73</c:v>
                </c:pt>
              </c:numCache>
            </c:numRef>
          </c:val>
        </c:ser>
        <c:marker val="1"/>
        <c:axId val="68799872"/>
        <c:axId val="68683264"/>
      </c:lineChart>
      <c:catAx>
        <c:axId val="68799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68683264"/>
        <c:crosses val="autoZero"/>
        <c:auto val="1"/>
        <c:lblAlgn val="ctr"/>
        <c:lblOffset val="100"/>
      </c:catAx>
      <c:valAx>
        <c:axId val="6868326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68799872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Средний процент выполнения заданий блока</a:t>
            </a:r>
            <a:r>
              <a:rPr lang="ru-RU" sz="1200" baseline="0"/>
              <a:t> </a:t>
            </a:r>
          </a:p>
          <a:p>
            <a:pPr>
              <a:defRPr/>
            </a:pPr>
            <a:r>
              <a:rPr lang="ru-RU" sz="1200" baseline="0"/>
              <a:t>"Химия и жизнь"</a:t>
            </a:r>
            <a:endParaRPr lang="ru-RU" sz="1200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marker>
            <c:symbol val="none"/>
          </c:marker>
          <c:cat>
            <c:numRef>
              <c:f>Лист1!$A$2:$A$3</c:f>
              <c:numCache>
                <c:formatCode>General</c:formatCode>
                <c:ptCount val="2"/>
                <c:pt idx="0">
                  <c:v>24</c:v>
                </c:pt>
                <c:pt idx="1">
                  <c:v>25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74</c:v>
                </c:pt>
                <c:pt idx="1">
                  <c:v>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none"/>
          </c:marker>
          <c:cat>
            <c:numRef>
              <c:f>Лист1!$A$2:$A$3</c:f>
              <c:numCache>
                <c:formatCode>General</c:formatCode>
                <c:ptCount val="2"/>
                <c:pt idx="0">
                  <c:v>24</c:v>
                </c:pt>
                <c:pt idx="1">
                  <c:v>25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55</c:v>
                </c:pt>
                <c:pt idx="1">
                  <c:v>100</c:v>
                </c:pt>
              </c:numCache>
            </c:numRef>
          </c:val>
        </c:ser>
        <c:marker val="1"/>
        <c:axId val="68700416"/>
        <c:axId val="68747648"/>
      </c:lineChart>
      <c:catAx>
        <c:axId val="687004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68747648"/>
        <c:crosses val="autoZero"/>
        <c:auto val="1"/>
        <c:lblAlgn val="ctr"/>
        <c:lblOffset val="100"/>
      </c:catAx>
      <c:valAx>
        <c:axId val="687476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68700416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Средний процент выполнения заданий блока</a:t>
            </a:r>
            <a:endParaRPr lang="ru-RU" sz="1200" baseline="0"/>
          </a:p>
          <a:p>
            <a:pPr>
              <a:defRPr/>
            </a:pPr>
            <a:r>
              <a:rPr lang="ru-RU" sz="1200" baseline="0"/>
              <a:t>"Типы расчетных задач"</a:t>
            </a:r>
            <a:endParaRPr lang="ru-RU" sz="1200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23</c:v>
                </c:pt>
                <c:pt idx="1">
                  <c:v>26</c:v>
                </c:pt>
                <c:pt idx="2">
                  <c:v>27</c:v>
                </c:pt>
                <c:pt idx="3">
                  <c:v>28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88</c:v>
                </c:pt>
                <c:pt idx="2">
                  <c:v>88</c:v>
                </c:pt>
                <c:pt idx="3">
                  <c:v>59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23</c:v>
                </c:pt>
                <c:pt idx="1">
                  <c:v>26</c:v>
                </c:pt>
                <c:pt idx="2">
                  <c:v>27</c:v>
                </c:pt>
                <c:pt idx="3">
                  <c:v>28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95.5</c:v>
                </c:pt>
                <c:pt idx="1">
                  <c:v>82</c:v>
                </c:pt>
                <c:pt idx="2">
                  <c:v>91</c:v>
                </c:pt>
                <c:pt idx="3">
                  <c:v>55</c:v>
                </c:pt>
              </c:numCache>
            </c:numRef>
          </c:val>
        </c:ser>
        <c:marker val="1"/>
        <c:axId val="68740224"/>
        <c:axId val="68742144"/>
      </c:lineChart>
      <c:catAx>
        <c:axId val="68740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68742144"/>
        <c:crosses val="autoZero"/>
        <c:auto val="1"/>
        <c:lblAlgn val="ctr"/>
        <c:lblOffset val="100"/>
      </c:catAx>
      <c:valAx>
        <c:axId val="6874214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68740224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Средний процент выполнения заданий</a:t>
            </a:r>
            <a:r>
              <a:rPr lang="en-US" sz="1200"/>
              <a:t> </a:t>
            </a:r>
            <a:endParaRPr lang="ru-RU" sz="1200"/>
          </a:p>
          <a:p>
            <a:pPr>
              <a:defRPr/>
            </a:pPr>
            <a:r>
              <a:rPr lang="en-US" sz="1200"/>
              <a:t>2 </a:t>
            </a:r>
            <a:r>
              <a:rPr lang="ru-RU" sz="1200"/>
              <a:t>части</a:t>
            </a:r>
            <a:r>
              <a:rPr lang="ru-RU" sz="1200" baseline="0"/>
              <a:t> КИМ ЕГЭ по химии</a:t>
            </a:r>
            <a:r>
              <a:rPr lang="en-US" sz="1200"/>
              <a:t> </a:t>
            </a:r>
            <a:endParaRPr lang="ru-RU" sz="1200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29</c:v>
                </c:pt>
                <c:pt idx="1">
                  <c:v>30</c:v>
                </c:pt>
                <c:pt idx="2">
                  <c:v>31</c:v>
                </c:pt>
                <c:pt idx="3">
                  <c:v>32</c:v>
                </c:pt>
                <c:pt idx="4">
                  <c:v>33</c:v>
                </c:pt>
                <c:pt idx="5">
                  <c:v>34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68</c:v>
                </c:pt>
                <c:pt idx="1">
                  <c:v>57</c:v>
                </c:pt>
                <c:pt idx="2">
                  <c:v>57</c:v>
                </c:pt>
                <c:pt idx="3">
                  <c:v>59</c:v>
                </c:pt>
                <c:pt idx="4">
                  <c:v>57</c:v>
                </c:pt>
                <c:pt idx="5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none"/>
          </c:marker>
          <c:cat>
            <c:numRef>
              <c:f>Лист1!$A$2:$A$7</c:f>
              <c:numCache>
                <c:formatCode>General</c:formatCode>
                <c:ptCount val="6"/>
                <c:pt idx="0">
                  <c:v>29</c:v>
                </c:pt>
                <c:pt idx="1">
                  <c:v>30</c:v>
                </c:pt>
                <c:pt idx="2">
                  <c:v>31</c:v>
                </c:pt>
                <c:pt idx="3">
                  <c:v>32</c:v>
                </c:pt>
                <c:pt idx="4">
                  <c:v>33</c:v>
                </c:pt>
                <c:pt idx="5">
                  <c:v>34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45</c:v>
                </c:pt>
                <c:pt idx="1">
                  <c:v>39</c:v>
                </c:pt>
                <c:pt idx="2">
                  <c:v>39</c:v>
                </c:pt>
                <c:pt idx="3">
                  <c:v>33</c:v>
                </c:pt>
                <c:pt idx="4">
                  <c:v>30</c:v>
                </c:pt>
                <c:pt idx="5">
                  <c:v>0</c:v>
                </c:pt>
              </c:numCache>
            </c:numRef>
          </c:val>
        </c:ser>
        <c:marker val="1"/>
        <c:axId val="68890624"/>
        <c:axId val="68892544"/>
      </c:lineChart>
      <c:catAx>
        <c:axId val="68890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68892544"/>
        <c:crosses val="autoZero"/>
        <c:auto val="1"/>
        <c:lblAlgn val="ctr"/>
        <c:lblOffset val="100"/>
      </c:catAx>
      <c:valAx>
        <c:axId val="6889254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68890624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Динамика</a:t>
            </a:r>
            <a:r>
              <a:rPr lang="ru-RU" baseline="0"/>
              <a:t> к</a:t>
            </a:r>
            <a:r>
              <a:rPr lang="ru-RU"/>
              <a:t>ачества знаний и успеваемости</a:t>
            </a:r>
            <a:r>
              <a:rPr lang="ru-RU" baseline="0"/>
              <a:t> по годам</a:t>
            </a:r>
            <a:endParaRPr lang="ru-RU"/>
          </a:p>
        </c:rich>
      </c:tx>
      <c:layout>
        <c:manualLayout>
          <c:xMode val="edge"/>
          <c:yMode val="edge"/>
          <c:x val="0.16942799312047382"/>
          <c:y val="3.9920159680638723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94.2</c:v>
                </c:pt>
                <c:pt idx="1">
                  <c:v>84.2</c:v>
                </c:pt>
                <c:pt idx="2">
                  <c:v>91</c:v>
                </c:pt>
                <c:pt idx="3">
                  <c:v>73.400000000000006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Успеваемость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94.7</c:v>
                </c:pt>
              </c:numCache>
            </c:numRef>
          </c:val>
        </c:ser>
        <c:marker val="1"/>
        <c:axId val="71335296"/>
        <c:axId val="71353472"/>
      </c:lineChart>
      <c:catAx>
        <c:axId val="71335296"/>
        <c:scaling>
          <c:orientation val="minMax"/>
        </c:scaling>
        <c:axPos val="b"/>
        <c:numFmt formatCode="General" sourceLinked="1"/>
        <c:tickLblPos val="nextTo"/>
        <c:crossAx val="71353472"/>
        <c:crosses val="autoZero"/>
        <c:auto val="1"/>
        <c:lblAlgn val="ctr"/>
        <c:lblOffset val="100"/>
      </c:catAx>
      <c:valAx>
        <c:axId val="71353472"/>
        <c:scaling>
          <c:orientation val="minMax"/>
        </c:scaling>
        <c:axPos val="l"/>
        <c:majorGridlines/>
        <c:numFmt formatCode="General" sourceLinked="1"/>
        <c:tickLblPos val="nextTo"/>
        <c:crossAx val="71335296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Результаты</a:t>
            </a:r>
            <a:r>
              <a:rPr lang="ru-RU" baseline="0"/>
              <a:t> ОГЭ по химии</a:t>
            </a:r>
            <a:endParaRPr lang="ru-RU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16</c:v>
                </c:pt>
                <c:pt idx="2">
                  <c:v>9</c:v>
                </c:pt>
                <c:pt idx="3">
                  <c:v>21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46</c:v>
                </c:pt>
                <c:pt idx="1">
                  <c:v>45</c:v>
                </c:pt>
                <c:pt idx="2">
                  <c:v>33</c:v>
                </c:pt>
                <c:pt idx="3">
                  <c:v>42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marker>
            <c:symbol val="none"/>
          </c:marker>
          <c:cat>
            <c:numRef>
              <c:f>Лист1!$A$2:$A$5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2025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48</c:v>
                </c:pt>
                <c:pt idx="1">
                  <c:v>39</c:v>
                </c:pt>
                <c:pt idx="2">
                  <c:v>58</c:v>
                </c:pt>
                <c:pt idx="3">
                  <c:v>32</c:v>
                </c:pt>
              </c:numCache>
            </c:numRef>
          </c:val>
        </c:ser>
        <c:marker val="1"/>
        <c:axId val="71363584"/>
        <c:axId val="71365376"/>
      </c:lineChart>
      <c:catAx>
        <c:axId val="71363584"/>
        <c:scaling>
          <c:orientation val="minMax"/>
        </c:scaling>
        <c:axPos val="b"/>
        <c:numFmt formatCode="General" sourceLinked="1"/>
        <c:tickLblPos val="nextTo"/>
        <c:crossAx val="71365376"/>
        <c:crosses val="autoZero"/>
        <c:auto val="1"/>
        <c:lblAlgn val="ctr"/>
        <c:lblOffset val="100"/>
      </c:catAx>
      <c:valAx>
        <c:axId val="71365376"/>
        <c:scaling>
          <c:orientation val="minMax"/>
        </c:scaling>
        <c:axPos val="l"/>
        <c:majorGridlines/>
        <c:numFmt formatCode="General" sourceLinked="1"/>
        <c:tickLblPos val="nextTo"/>
        <c:crossAx val="71363584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Средний процент выполнения заданий КИМ </a:t>
            </a:r>
            <a:r>
              <a:rPr lang="en-US"/>
              <a:t>I </a:t>
            </a:r>
            <a:r>
              <a:rPr lang="ru-RU"/>
              <a:t>часть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cat>
            <c:numRef>
              <c:f>Лист1!$A$2:$A$20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73</c:v>
                </c:pt>
                <c:pt idx="1">
                  <c:v>94</c:v>
                </c:pt>
                <c:pt idx="2">
                  <c:v>85</c:v>
                </c:pt>
                <c:pt idx="3">
                  <c:v>85</c:v>
                </c:pt>
                <c:pt idx="4">
                  <c:v>85</c:v>
                </c:pt>
                <c:pt idx="5">
                  <c:v>82</c:v>
                </c:pt>
                <c:pt idx="6">
                  <c:v>91</c:v>
                </c:pt>
                <c:pt idx="7">
                  <c:v>70</c:v>
                </c:pt>
                <c:pt idx="8">
                  <c:v>54</c:v>
                </c:pt>
                <c:pt idx="9">
                  <c:v>68</c:v>
                </c:pt>
                <c:pt idx="10">
                  <c:v>79</c:v>
                </c:pt>
                <c:pt idx="11">
                  <c:v>73</c:v>
                </c:pt>
                <c:pt idx="12">
                  <c:v>79</c:v>
                </c:pt>
                <c:pt idx="13">
                  <c:v>67</c:v>
                </c:pt>
                <c:pt idx="14">
                  <c:v>85</c:v>
                </c:pt>
                <c:pt idx="15">
                  <c:v>76</c:v>
                </c:pt>
                <c:pt idx="16">
                  <c:v>59</c:v>
                </c:pt>
                <c:pt idx="17">
                  <c:v>88</c:v>
                </c:pt>
                <c:pt idx="18">
                  <c:v>55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cat>
            <c:numRef>
              <c:f>Лист1!$A$2:$A$20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</c:numCache>
            </c:numRef>
          </c:cat>
          <c:val>
            <c:numRef>
              <c:f>Лист1!$C$2:$C$20</c:f>
              <c:numCache>
                <c:formatCode>General</c:formatCode>
                <c:ptCount val="19"/>
                <c:pt idx="0">
                  <c:v>68</c:v>
                </c:pt>
                <c:pt idx="1">
                  <c:v>84</c:v>
                </c:pt>
                <c:pt idx="2">
                  <c:v>84</c:v>
                </c:pt>
                <c:pt idx="3">
                  <c:v>87</c:v>
                </c:pt>
                <c:pt idx="4">
                  <c:v>89</c:v>
                </c:pt>
                <c:pt idx="5">
                  <c:v>58</c:v>
                </c:pt>
                <c:pt idx="6">
                  <c:v>74</c:v>
                </c:pt>
                <c:pt idx="7">
                  <c:v>42</c:v>
                </c:pt>
                <c:pt idx="8">
                  <c:v>79</c:v>
                </c:pt>
                <c:pt idx="9">
                  <c:v>39</c:v>
                </c:pt>
                <c:pt idx="10">
                  <c:v>95</c:v>
                </c:pt>
                <c:pt idx="11">
                  <c:v>63</c:v>
                </c:pt>
                <c:pt idx="12">
                  <c:v>63</c:v>
                </c:pt>
                <c:pt idx="13">
                  <c:v>42</c:v>
                </c:pt>
                <c:pt idx="14">
                  <c:v>84</c:v>
                </c:pt>
                <c:pt idx="15">
                  <c:v>47</c:v>
                </c:pt>
                <c:pt idx="16">
                  <c:v>45</c:v>
                </c:pt>
                <c:pt idx="17">
                  <c:v>79</c:v>
                </c:pt>
                <c:pt idx="18">
                  <c:v>63</c:v>
                </c:pt>
              </c:numCache>
            </c:numRef>
          </c:val>
        </c:ser>
        <c:axId val="33346688"/>
        <c:axId val="33348608"/>
      </c:barChart>
      <c:catAx>
        <c:axId val="33346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33348608"/>
        <c:crosses val="autoZero"/>
        <c:auto val="1"/>
        <c:lblAlgn val="ctr"/>
        <c:lblOffset val="100"/>
      </c:catAx>
      <c:valAx>
        <c:axId val="3334860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33346688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Средний процент выполнения заданий КИМ </a:t>
            </a:r>
            <a:r>
              <a:rPr lang="en-US"/>
              <a:t>II </a:t>
            </a:r>
            <a:r>
              <a:rPr lang="ru-RU"/>
              <a:t>часть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81</c:v>
                </c:pt>
                <c:pt idx="1">
                  <c:v>59</c:v>
                </c:pt>
                <c:pt idx="2">
                  <c:v>59</c:v>
                </c:pt>
                <c:pt idx="3">
                  <c:v>90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81</c:v>
                </c:pt>
                <c:pt idx="1">
                  <c:v>53</c:v>
                </c:pt>
                <c:pt idx="2">
                  <c:v>49</c:v>
                </c:pt>
                <c:pt idx="3">
                  <c:v>66</c:v>
                </c:pt>
              </c:numCache>
            </c:numRef>
          </c:val>
        </c:ser>
        <c:axId val="33353728"/>
        <c:axId val="33355648"/>
      </c:barChart>
      <c:catAx>
        <c:axId val="33353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33355648"/>
        <c:crosses val="autoZero"/>
        <c:auto val="1"/>
        <c:lblAlgn val="ctr"/>
        <c:lblOffset val="100"/>
      </c:catAx>
      <c:valAx>
        <c:axId val="333556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  <a:r>
                  <a:rPr lang="ru-RU" baseline="0"/>
                  <a:t> выполнения</a:t>
                </a:r>
                <a:endParaRPr lang="ru-RU"/>
              </a:p>
            </c:rich>
          </c:tx>
        </c:title>
        <c:numFmt formatCode="General" sourceLinked="1"/>
        <c:tickLblPos val="nextTo"/>
        <c:crossAx val="33353728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тестовый балл</c:v>
                </c:pt>
              </c:strCache>
            </c:strRef>
          </c:tx>
          <c:marker>
            <c:symbol val="none"/>
          </c:marker>
          <c:cat>
            <c:numRef>
              <c:f>Лист1!$A$2:$A$4</c:f>
              <c:numCache>
                <c:formatCode>General</c:formatCode>
                <c:ptCount val="3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</c:v>
                </c:pt>
                <c:pt idx="1">
                  <c:v>75</c:v>
                </c:pt>
                <c:pt idx="2">
                  <c:v>65</c:v>
                </c:pt>
              </c:numCache>
            </c:numRef>
          </c:val>
        </c:ser>
        <c:marker val="1"/>
        <c:axId val="71525120"/>
        <c:axId val="71526656"/>
      </c:lineChart>
      <c:catAx>
        <c:axId val="71525120"/>
        <c:scaling>
          <c:orientation val="minMax"/>
        </c:scaling>
        <c:axPos val="b"/>
        <c:numFmt formatCode="General" sourceLinked="1"/>
        <c:tickLblPos val="nextTo"/>
        <c:crossAx val="71526656"/>
        <c:crosses val="autoZero"/>
        <c:auto val="1"/>
        <c:lblAlgn val="ctr"/>
        <c:lblOffset val="100"/>
      </c:catAx>
      <c:valAx>
        <c:axId val="71526656"/>
        <c:scaling>
          <c:orientation val="minMax"/>
        </c:scaling>
        <c:axPos val="l"/>
        <c:majorGridlines/>
        <c:numFmt formatCode="General" sourceLinked="1"/>
        <c:tickLblPos val="nextTo"/>
        <c:crossAx val="715251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Динамика</a:t>
            </a:r>
            <a:r>
              <a:rPr lang="ru-RU" baseline="0"/>
              <a:t> результатов ЕГЭ по химии за последние 2 года</a:t>
            </a:r>
            <a:endParaRPr lang="ru-RU"/>
          </a:p>
        </c:rich>
      </c:tx>
      <c:layout>
        <c:manualLayout>
          <c:xMode val="edge"/>
          <c:yMode val="edge"/>
          <c:x val="0.16942799312047394"/>
          <c:y val="3.9920159680638723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ниже минимального балла</c:v>
                </c:pt>
                <c:pt idx="1">
                  <c:v>36-60 баллов</c:v>
                </c:pt>
                <c:pt idx="2">
                  <c:v>61-80 баллов</c:v>
                </c:pt>
                <c:pt idx="3">
                  <c:v>81-100 баллов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35</c:v>
                </c:pt>
                <c:pt idx="2">
                  <c:v>18</c:v>
                </c:pt>
                <c:pt idx="3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ниже минимального балла</c:v>
                </c:pt>
                <c:pt idx="1">
                  <c:v>36-60 баллов</c:v>
                </c:pt>
                <c:pt idx="2">
                  <c:v>61-80 баллов</c:v>
                </c:pt>
                <c:pt idx="3">
                  <c:v>81-100 баллов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36</c:v>
                </c:pt>
                <c:pt idx="2">
                  <c:v>63</c:v>
                </c:pt>
                <c:pt idx="3">
                  <c:v>0</c:v>
                </c:pt>
              </c:numCache>
            </c:numRef>
          </c:val>
        </c:ser>
        <c:axId val="113332224"/>
        <c:axId val="113333760"/>
      </c:barChart>
      <c:catAx>
        <c:axId val="113332224"/>
        <c:scaling>
          <c:orientation val="minMax"/>
        </c:scaling>
        <c:axPos val="b"/>
        <c:numFmt formatCode="General" sourceLinked="1"/>
        <c:tickLblPos val="nextTo"/>
        <c:crossAx val="113333760"/>
        <c:crosses val="autoZero"/>
        <c:auto val="1"/>
        <c:lblAlgn val="ctr"/>
        <c:lblOffset val="100"/>
      </c:catAx>
      <c:valAx>
        <c:axId val="113333760"/>
        <c:scaling>
          <c:orientation val="minMax"/>
        </c:scaling>
        <c:axPos val="l"/>
        <c:majorGridlines/>
        <c:numFmt formatCode="General" sourceLinked="1"/>
        <c:tickLblPos val="nextTo"/>
        <c:crossAx val="113332224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Средний процент выполнения заданий блока</a:t>
            </a:r>
            <a:r>
              <a:rPr lang="ru-RU" sz="1200" baseline="0"/>
              <a:t> "Теоретические основы химии. Химическая реакция"</a:t>
            </a:r>
            <a:endParaRPr lang="ru-RU" sz="1200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17</c:v>
                </c:pt>
                <c:pt idx="5">
                  <c:v>18</c:v>
                </c:pt>
                <c:pt idx="6">
                  <c:v>19</c:v>
                </c:pt>
                <c:pt idx="7">
                  <c:v>20</c:v>
                </c:pt>
                <c:pt idx="8">
                  <c:v>21</c:v>
                </c:pt>
                <c:pt idx="9">
                  <c:v>22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88</c:v>
                </c:pt>
                <c:pt idx="1">
                  <c:v>76.5</c:v>
                </c:pt>
                <c:pt idx="2">
                  <c:v>88</c:v>
                </c:pt>
                <c:pt idx="3">
                  <c:v>94</c:v>
                </c:pt>
                <c:pt idx="4">
                  <c:v>71</c:v>
                </c:pt>
                <c:pt idx="5">
                  <c:v>76</c:v>
                </c:pt>
                <c:pt idx="6">
                  <c:v>100</c:v>
                </c:pt>
                <c:pt idx="7">
                  <c:v>76</c:v>
                </c:pt>
                <c:pt idx="8">
                  <c:v>100</c:v>
                </c:pt>
                <c:pt idx="9">
                  <c:v>88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17</c:v>
                </c:pt>
                <c:pt idx="5">
                  <c:v>18</c:v>
                </c:pt>
                <c:pt idx="6">
                  <c:v>19</c:v>
                </c:pt>
                <c:pt idx="7">
                  <c:v>20</c:v>
                </c:pt>
                <c:pt idx="8">
                  <c:v>21</c:v>
                </c:pt>
                <c:pt idx="9">
                  <c:v>22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82</c:v>
                </c:pt>
                <c:pt idx="1">
                  <c:v>91</c:v>
                </c:pt>
                <c:pt idx="2">
                  <c:v>100</c:v>
                </c:pt>
                <c:pt idx="3">
                  <c:v>73</c:v>
                </c:pt>
                <c:pt idx="4">
                  <c:v>82</c:v>
                </c:pt>
                <c:pt idx="5">
                  <c:v>91</c:v>
                </c:pt>
                <c:pt idx="6">
                  <c:v>91</c:v>
                </c:pt>
                <c:pt idx="7">
                  <c:v>100</c:v>
                </c:pt>
                <c:pt idx="8">
                  <c:v>82</c:v>
                </c:pt>
                <c:pt idx="9">
                  <c:v>86</c:v>
                </c:pt>
              </c:numCache>
            </c:numRef>
          </c:val>
        </c:ser>
        <c:marker val="1"/>
        <c:axId val="113432448"/>
        <c:axId val="113647616"/>
      </c:lineChart>
      <c:catAx>
        <c:axId val="113432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113647616"/>
        <c:crosses val="autoZero"/>
        <c:auto val="1"/>
        <c:lblAlgn val="ctr"/>
        <c:lblOffset val="100"/>
      </c:catAx>
      <c:valAx>
        <c:axId val="11364761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113432448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Средний процент выполнения заданий блока</a:t>
            </a:r>
            <a:r>
              <a:rPr lang="ru-RU" sz="1200" baseline="0"/>
              <a:t> "Основы неорганической химии"</a:t>
            </a:r>
            <a:endParaRPr lang="ru-RU" sz="1200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100</c:v>
                </c:pt>
                <c:pt idx="1">
                  <c:v>91</c:v>
                </c:pt>
                <c:pt idx="2">
                  <c:v>76.5</c:v>
                </c:pt>
                <c:pt idx="3">
                  <c:v>85</c:v>
                </c:pt>
                <c:pt idx="4">
                  <c:v>88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91</c:v>
                </c:pt>
                <c:pt idx="1">
                  <c:v>86</c:v>
                </c:pt>
                <c:pt idx="2">
                  <c:v>73</c:v>
                </c:pt>
                <c:pt idx="3">
                  <c:v>50</c:v>
                </c:pt>
                <c:pt idx="4">
                  <c:v>45</c:v>
                </c:pt>
              </c:numCache>
            </c:numRef>
          </c:val>
        </c:ser>
        <c:marker val="1"/>
        <c:axId val="68784896"/>
        <c:axId val="68786816"/>
      </c:lineChart>
      <c:catAx>
        <c:axId val="687848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Номера</a:t>
                </a:r>
                <a:r>
                  <a:rPr lang="ru-RU" baseline="0"/>
                  <a:t> заданий КИМ</a:t>
                </a:r>
                <a:endParaRPr lang="ru-RU"/>
              </a:p>
            </c:rich>
          </c:tx>
        </c:title>
        <c:numFmt formatCode="General" sourceLinked="1"/>
        <c:tickLblPos val="nextTo"/>
        <c:crossAx val="68786816"/>
        <c:crosses val="autoZero"/>
        <c:auto val="1"/>
        <c:lblAlgn val="ctr"/>
        <c:lblOffset val="100"/>
      </c:catAx>
      <c:valAx>
        <c:axId val="6878681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 выполнения</a:t>
                </a:r>
              </a:p>
            </c:rich>
          </c:tx>
        </c:title>
        <c:numFmt formatCode="General" sourceLinked="1"/>
        <c:tickLblPos val="nextTo"/>
        <c:crossAx val="68784896"/>
        <c:crosses val="autoZero"/>
        <c:crossBetween val="between"/>
      </c:valAx>
    </c:plotArea>
    <c:legend>
      <c:legendPos val="r"/>
      <c:spPr>
        <a:noFill/>
      </c:spPr>
    </c:legend>
    <c:plotVisOnly val="1"/>
  </c:chart>
  <c:txPr>
    <a:bodyPr/>
    <a:lstStyle/>
    <a:p>
      <a:pPr>
        <a:defRPr i="1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60B6D-A533-43CA-88B7-FBF0962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4925</Words>
  <Characters>28077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23</cp:revision>
  <dcterms:created xsi:type="dcterms:W3CDTF">2026-03-18T05:06:00Z</dcterms:created>
  <dcterms:modified xsi:type="dcterms:W3CDTF">2026-03-24T14:15:00Z</dcterms:modified>
</cp:coreProperties>
</file>